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07C53" w:rsidRDefault="006D0B9F">
      <w:pPr>
        <w:spacing w:after="60"/>
      </w:pPr>
      <w:r>
        <w:rPr>
          <w:b/>
          <w:bCs/>
          <w:color w:val="2E7D6B"/>
          <w:sz w:val="17"/>
          <w:szCs w:val="17"/>
        </w:rPr>
        <w:t>SEBASTOPOL, CALIFORNIA</w:t>
      </w:r>
    </w:p>
    <w:p w14:paraId="00000002" w14:textId="77777777" w:rsidR="00C07C53" w:rsidRDefault="004E76CE">
      <w:pPr>
        <w:spacing w:after="80"/>
      </w:pPr>
      <w:sdt>
        <w:sdtPr>
          <w:tag w:val="goog_rdk_0"/>
          <w:id w:val="819865867"/>
        </w:sdtPr>
        <w:sdtEndPr/>
        <w:sdtContent/>
      </w:sdt>
      <w:r w:rsidR="006D0B9F">
        <w:rPr>
          <w:rFonts w:ascii="Georgia" w:eastAsia="Georgia" w:hAnsi="Georgia" w:cs="Georgia"/>
          <w:b/>
          <w:bCs/>
          <w:color w:val="1B3A5C"/>
          <w:sz w:val="52"/>
          <w:szCs w:val="52"/>
        </w:rPr>
        <w:t>Creating the Commons</w:t>
      </w:r>
    </w:p>
    <w:p w14:paraId="00000003" w14:textId="77777777" w:rsidR="00C07C53" w:rsidRDefault="006D0B9F">
      <w:pPr>
        <w:spacing w:after="60"/>
      </w:pPr>
      <w:r>
        <w:rPr>
          <w:rFonts w:ascii="Georgia" w:eastAsia="Georgia" w:hAnsi="Georgia" w:cs="Georgia"/>
          <w:i/>
          <w:iCs/>
          <w:color w:val="2E7D6B"/>
          <w:sz w:val="24"/>
          <w:szCs w:val="24"/>
        </w:rPr>
        <w:t>A 30-year planning framework for Sebastopol's civic future</w:t>
      </w:r>
    </w:p>
    <w:p w14:paraId="00000004" w14:textId="77777777" w:rsidR="00C07C53" w:rsidRDefault="006D0B9F">
      <w:r>
        <w:rPr>
          <w:color w:val="6B7280"/>
          <w:sz w:val="19"/>
          <w:szCs w:val="19"/>
        </w:rPr>
        <w:t>Prepared by the Finance Subcommittee for the full committee</w:t>
      </w:r>
    </w:p>
    <w:tbl>
      <w:tblPr>
        <w:tblStyle w:val="a"/>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C07C53" w14:paraId="14CD761A" w14:textId="77777777">
        <w:tc>
          <w:tcPr>
            <w:tcW w:w="9360" w:type="dxa"/>
            <w:tcBorders>
              <w:top w:val="single" w:sz="6" w:space="0" w:color="2E7D6B"/>
              <w:left w:val="nil"/>
              <w:bottom w:val="nil"/>
              <w:right w:val="nil"/>
            </w:tcBorders>
            <w:tcMar>
              <w:top w:w="0" w:type="dxa"/>
              <w:left w:w="0" w:type="dxa"/>
              <w:bottom w:w="0" w:type="dxa"/>
              <w:right w:w="0" w:type="dxa"/>
            </w:tcMar>
          </w:tcPr>
          <w:p w14:paraId="00000005" w14:textId="77777777" w:rsidR="00C07C53" w:rsidRDefault="00C07C53"/>
        </w:tc>
      </w:tr>
    </w:tbl>
    <w:p w14:paraId="00000007" w14:textId="77777777" w:rsidR="00C07C53" w:rsidRPr="003446EF" w:rsidRDefault="006D0B9F" w:rsidP="003446EF">
      <w:pPr>
        <w:spacing w:before="240" w:after="60"/>
        <w:rPr>
          <w:sz w:val="22"/>
          <w:szCs w:val="22"/>
        </w:rPr>
      </w:pPr>
      <w:r w:rsidRPr="003446EF">
        <w:rPr>
          <w:b/>
          <w:bCs/>
          <w:color w:val="2E7D6B"/>
          <w:sz w:val="18"/>
          <w:szCs w:val="18"/>
        </w:rPr>
        <w:t>PART ONE — WHERE WE ARE</w:t>
      </w:r>
    </w:p>
    <w:p w14:paraId="00000008" w14:textId="77777777" w:rsidR="00C07C53" w:rsidRDefault="006D0B9F" w:rsidP="003446EF">
      <w:pPr>
        <w:pStyle w:val="Heading1"/>
        <w:pBdr>
          <w:bottom w:val="single" w:sz="4" w:space="6" w:color="2E7D6B"/>
        </w:pBdr>
        <w:spacing w:before="240"/>
      </w:pPr>
      <w:r>
        <w:t>The Infrastructure We Have, and What It Costs to Keep It</w:t>
      </w:r>
    </w:p>
    <w:p w14:paraId="00000009" w14:textId="77777777" w:rsidR="00C07C53" w:rsidRDefault="006D0B9F">
      <w:pPr>
        <w:spacing w:after="160"/>
      </w:pPr>
      <w:r>
        <w:rPr>
          <w:color w:val="3D4A5C"/>
        </w:rPr>
        <w:t>Sebastopol is not in a crisis. We have functional civic facilities, a dedicated city staff, and a community that actively uses and values its public spaces. That is precisely why this is the right moment to think carefully — not because we are forced to, but because we have the capacity and the time to make a thoughtful decision rather than a reactive one. What follows is a direct account of the challenges we are managing. None of these are emergencies today. Taken together, they represent a compounding set of costs and constraints that will not improve on their own.</w:t>
      </w:r>
    </w:p>
    <w:p w14:paraId="0000000A" w14:textId="77777777" w:rsidR="00C07C53" w:rsidRDefault="006D0B9F">
      <w:pPr>
        <w:pStyle w:val="Heading2"/>
      </w:pPr>
      <w:r>
        <w:t>The Library</w:t>
      </w:r>
    </w:p>
    <w:p w14:paraId="0000000B" w14:textId="77777777" w:rsidR="00C07C53" w:rsidRDefault="006D0B9F">
      <w:pPr>
        <w:spacing w:after="160"/>
      </w:pPr>
      <w:r>
        <w:rPr>
          <w:color w:val="3D4A5C"/>
        </w:rPr>
        <w:t>The Sebastopol Library serves a community that values it deeply, with strong programming and consistent use. It also operates in a building that provides roughly half the square footage recommended by California State Library standards for a community of our size. This is not a criticism — it is a physical constraint that limits what the library can offer regardless of how well it is managed. Youth programming competes with adult use for the same rooms. Study space is limited. Digital access and maker-space programming — increasingly central to what 21st-century libraries offer — have no meaningful home. Sebastopol is underinvesting, not by choice, but by square footage.</w:t>
      </w:r>
    </w:p>
    <w:p w14:paraId="0000000C" w14:textId="77777777" w:rsidR="00C07C53" w:rsidRDefault="006D0B9F">
      <w:pPr>
        <w:pStyle w:val="Heading2"/>
      </w:pPr>
      <w:r>
        <w:t>The Senior Center</w:t>
      </w:r>
    </w:p>
    <w:p w14:paraId="0000000D" w14:textId="77777777" w:rsidR="00C07C53" w:rsidRDefault="006D0B9F">
      <w:pPr>
        <w:spacing w:after="160"/>
      </w:pPr>
      <w:r>
        <w:rPr>
          <w:color w:val="3D4A5C"/>
        </w:rPr>
        <w:t>The Senior Center serves a growing population that is expanding across Sonoma County. The facility regularly reaches capacity, requiring offsite rentals to meet demand — a recurring expense that generates no lasting asset. Beyond cost, fragmented programming creates real access barriers for residents with limited mobility or transportation. A consolidated facility would remove this barrier while reducing the rental overhead that currently dilutes the programming budget.</w:t>
      </w:r>
    </w:p>
    <w:p w14:paraId="0000000E" w14:textId="77777777" w:rsidR="00C07C53" w:rsidRDefault="006D0B9F">
      <w:pPr>
        <w:pStyle w:val="Heading2"/>
      </w:pPr>
      <w:r>
        <w:t>City Hall</w:t>
      </w:r>
    </w:p>
    <w:p w14:paraId="0000000F" w14:textId="77777777" w:rsidR="00C07C53" w:rsidRDefault="006D0B9F">
      <w:pPr>
        <w:spacing w:after="160"/>
      </w:pPr>
      <w:r>
        <w:rPr>
          <w:color w:val="3D4A5C"/>
        </w:rPr>
        <w:t>City Hall functions, but it does so with aging infrastructure that generates regular, unplanned maintenance expenditure. HVAC replacement, ADA compliance, roof maintenance, and seismic considerations have each been the subject of recent budget discussions. The question is not whether these costs will occur — they will — but whether addressing them piecemeal in an aging building is the best use of the capital involved.</w:t>
      </w:r>
    </w:p>
    <w:p w14:paraId="00000010" w14:textId="77777777" w:rsidR="00C07C53" w:rsidRDefault="006D0B9F">
      <w:pPr>
        <w:pStyle w:val="Heading2"/>
      </w:pPr>
      <w:r>
        <w:t>The Community Cultural Center</w:t>
      </w:r>
    </w:p>
    <w:p w14:paraId="00000011" w14:textId="77777777" w:rsidR="00C07C53" w:rsidRDefault="006D0B9F">
      <w:pPr>
        <w:spacing w:after="160"/>
      </w:pPr>
      <w:r>
        <w:rPr>
          <w:color w:val="3D4A5C"/>
        </w:rPr>
        <w:t>The SCCC at 390 Morris Street is qualitatively different from the others. Where the library, senior center, and City Hall face aging-building pressures, the SCCC faces a structural location problem: it sits in the Laguna de Santa Rosa floodplain, and it floods.</w:t>
      </w:r>
    </w:p>
    <w:p w14:paraId="00000012" w14:textId="77777777" w:rsidR="00C07C53" w:rsidRDefault="006D0B9F">
      <w:pPr>
        <w:spacing w:after="160"/>
      </w:pPr>
      <w:r>
        <w:rPr>
          <w:color w:val="3D4A5C"/>
        </w:rPr>
        <w:t xml:space="preserve">The record is documented in city files. The building flooded in 1995 — severely enough that the community installed a custom removable floor specifically anticipating future events. It flooded again in 2019, causing extensive damage to sheetrock, panels, and building systems; the center has not fully recovered operationally as of 2024. Formal budget amendments funded repairs in 2022. In 2024, the city awarded a $68,140 contract for flood damage and fire code repairs, approved a separate $70,000 firewall project, and commissioned an $85,000 master plan to study flood mitigation alternatives and, </w:t>
      </w:r>
      <w:r>
        <w:rPr>
          <w:color w:val="3D4A5C"/>
        </w:rPr>
        <w:lastRenderedPageBreak/>
        <w:t xml:space="preserve">critically, alternative locations outside the flood zone. </w:t>
      </w:r>
      <w:proofErr w:type="gramStart"/>
      <w:r>
        <w:rPr>
          <w:color w:val="3D4A5C"/>
        </w:rPr>
        <w:t>A November</w:t>
      </w:r>
      <w:proofErr w:type="gramEnd"/>
      <w:r>
        <w:rPr>
          <w:color w:val="3D4A5C"/>
        </w:rPr>
        <w:t xml:space="preserve"> 2024 atmospheric river brought water to the edge of the property. The city's own Capital Improvement Program states without qualification: the SCCC "is in a floodplain and routinely floods."</w:t>
      </w:r>
    </w:p>
    <w:p w14:paraId="00000013" w14:textId="77777777" w:rsidR="00C07C53" w:rsidRDefault="006D0B9F">
      <w:pPr>
        <w:spacing w:after="160"/>
      </w:pPr>
      <w:r>
        <w:rPr>
          <w:color w:val="3D4A5C"/>
        </w:rPr>
        <w:t>The programming is valuable — over 70 classes per week, the city's largest public gathering space, City Council meetings. The issue is the address, not the mission. There is also a forward-looking insurance dimension. Under FEMA's National Flood Insurance Program, buildings with a pattern of repeated damage can be classified as Repetitive Loss or Severe Repetitive Loss properties, carrying significantly elevated premiums and, in some cases, reduced coverage from private insurers. The "Substantial Damage" rule compounds this: if any future flood exceeds 50% of the building's pre-damage value, the city is legally required to bring the entire structure into full floodplain compliance before making repairs — which for a building of the SCCC's age could mean mandatory full replacement. The city has not yet crossed these thresholds irreversibly. But each event moves the needle, and the $85,000 planning allocation reflects a clear-eyed recognition that continued repair-in-place is not a viable long-term answer.</w:t>
      </w:r>
    </w:p>
    <w:tbl>
      <w:tblPr>
        <w:tblStyle w:val="a0"/>
        <w:tblW w:w="98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75"/>
      </w:tblGrid>
      <w:tr w:rsidR="00C07C53" w14:paraId="293888D5" w14:textId="77777777" w:rsidTr="003446EF">
        <w:tc>
          <w:tcPr>
            <w:tcW w:w="9875" w:type="dxa"/>
            <w:tcBorders>
              <w:top w:val="nil"/>
              <w:left w:val="single" w:sz="20" w:space="0" w:color="9B6E1A"/>
              <w:bottom w:val="nil"/>
              <w:right w:val="nil"/>
            </w:tcBorders>
            <w:shd w:val="clear" w:color="auto" w:fill="F2F4F7"/>
            <w:tcMar>
              <w:top w:w="140" w:type="dxa"/>
              <w:left w:w="240" w:type="dxa"/>
              <w:bottom w:w="140" w:type="dxa"/>
              <w:right w:w="200" w:type="dxa"/>
            </w:tcMar>
          </w:tcPr>
          <w:p w14:paraId="00000015" w14:textId="77777777" w:rsidR="00C07C53" w:rsidRDefault="006D0B9F">
            <w:pPr>
              <w:rPr>
                <w:b/>
                <w:bCs/>
              </w:rPr>
            </w:pPr>
            <w:r>
              <w:rPr>
                <w:b/>
                <w:bCs/>
                <w:color w:val="1B3A5C"/>
                <w:sz w:val="24"/>
                <w:szCs w:val="24"/>
              </w:rPr>
              <w:t>4</w:t>
            </w:r>
            <w:r>
              <w:rPr>
                <w:b/>
                <w:bCs/>
                <w:color w:val="1B3A5C"/>
                <w:sz w:val="22"/>
                <w:szCs w:val="22"/>
              </w:rPr>
              <w:t xml:space="preserve"> </w:t>
            </w:r>
            <w:r>
              <w:rPr>
                <w:rFonts w:ascii="Georgia" w:eastAsia="Georgia" w:hAnsi="Georgia" w:cs="Georgia"/>
                <w:b/>
                <w:bCs/>
                <w:color w:val="1B3A5C"/>
                <w:sz w:val="22"/>
                <w:szCs w:val="22"/>
              </w:rPr>
              <w:t xml:space="preserve">COST CENTERS: </w:t>
            </w:r>
            <w:r>
              <w:rPr>
                <w:rFonts w:ascii="Georgia" w:eastAsia="Georgia" w:hAnsi="Georgia" w:cs="Georgia"/>
                <w:b/>
                <w:bCs/>
                <w:i/>
                <w:iCs/>
                <w:color w:val="1B3A5C"/>
                <w:sz w:val="22"/>
                <w:szCs w:val="22"/>
              </w:rPr>
              <w:t xml:space="preserve"> Each of these four facilities carries its own insurance premium, utility account, maintenance overhead, and deferred repair backlog. Over a 30-year horizon, duplicated across four aging buildings — one of them in a floodplain — these costs represent a meaningful and growing claim on the General Fund that could otherwise fund services. This is not an argument for reckless consolidation. It is an argument for modeling the question honestly.</w:t>
            </w:r>
          </w:p>
        </w:tc>
      </w:tr>
    </w:tbl>
    <w:p w14:paraId="00000017" w14:textId="77777777" w:rsidR="00C07C53" w:rsidRPr="00144AC0" w:rsidRDefault="006D0B9F">
      <w:pPr>
        <w:spacing w:before="360" w:after="60"/>
        <w:rPr>
          <w:sz w:val="22"/>
          <w:szCs w:val="22"/>
        </w:rPr>
      </w:pPr>
      <w:r w:rsidRPr="00144AC0">
        <w:rPr>
          <w:b/>
          <w:bCs/>
          <w:color w:val="2E7D6B"/>
          <w:sz w:val="18"/>
          <w:szCs w:val="18"/>
        </w:rPr>
        <w:t>PART TWO — WHAT OTHER COMMUNITIES HAVE DONE</w:t>
      </w:r>
    </w:p>
    <w:p w14:paraId="00000018" w14:textId="77777777" w:rsidR="00C07C53" w:rsidRDefault="006D0B9F" w:rsidP="003446EF">
      <w:pPr>
        <w:pStyle w:val="Heading1"/>
        <w:pBdr>
          <w:bottom w:val="single" w:sz="4" w:space="6" w:color="2E7D6B"/>
        </w:pBdr>
        <w:spacing w:before="240"/>
      </w:pPr>
      <w:r>
        <w:t>Tested Models, Not Experiments</w:t>
      </w:r>
    </w:p>
    <w:p w14:paraId="00000019" w14:textId="77777777" w:rsidR="00C07C53" w:rsidRDefault="006D0B9F">
      <w:pPr>
        <w:spacing w:after="160"/>
      </w:pPr>
      <w:r>
        <w:rPr>
          <w:color w:val="3D4A5C"/>
        </w:rPr>
        <w:t>Sebastopol is not alone in confronting these questions. Across California and the Pacific Northwest, small and mid-sized cities have addressed the same combination of aging infrastructure, limited general fund capacity, and growing service demands. The ones navigating this most effectively share a common insight: they have stopped thinking about civic facilities as costs to minimize and started treating them as assets to activate. What follows are four examples of structural logic that has been tested and found to work — not prescriptions, but models worth understanding.</w:t>
      </w:r>
    </w:p>
    <w:p w14:paraId="0000001A" w14:textId="77777777" w:rsidR="00C07C53" w:rsidRDefault="006D0B9F">
      <w:pPr>
        <w:spacing w:after="160"/>
      </w:pPr>
      <w:r>
        <w:rPr>
          <w:b/>
          <w:bCs/>
          <w:color w:val="1B3A5C"/>
        </w:rPr>
        <w:t>Cornelius, Oregon</w:t>
      </w:r>
      <w:r>
        <w:rPr>
          <w:color w:val="3D4A5C"/>
        </w:rPr>
        <w:t xml:space="preserve"> partnered a public library with the local YMCA and a senior housing developer in a single vertically integrated building. The YMCA's membership revenues partially offset the library's debt service. The private developer monetized upper floors and contributed to the civic infrastructure below. No single funding source carried the whole project — each partner contributed what it </w:t>
      </w:r>
      <w:proofErr w:type="gramStart"/>
      <w:r>
        <w:rPr>
          <w:color w:val="3D4A5C"/>
        </w:rPr>
        <w:t>does</w:t>
      </w:r>
      <w:proofErr w:type="gramEnd"/>
      <w:r>
        <w:rPr>
          <w:color w:val="3D4A5C"/>
        </w:rPr>
        <w:t xml:space="preserve"> best, and the public spaces were built at a fraction of what a purely municipal project would have cost.</w:t>
      </w:r>
    </w:p>
    <w:p w14:paraId="0000001B" w14:textId="77777777" w:rsidR="00C07C53" w:rsidRDefault="006D0B9F">
      <w:pPr>
        <w:spacing w:after="160"/>
      </w:pPr>
      <w:r>
        <w:rPr>
          <w:b/>
          <w:bCs/>
          <w:color w:val="1B3A5C"/>
        </w:rPr>
        <w:t>Mission Creek, San Francisco</w:t>
      </w:r>
      <w:r>
        <w:rPr>
          <w:color w:val="3D4A5C"/>
        </w:rPr>
        <w:t xml:space="preserve"> used vertical subdivision — different floors legally owned by different entities. Medical offices, a pharmacy, and a cafe on the ground floor pay market-rate commercial rents that service a portion of the construction financing. Senior housing funded through Low Income Housing Tax Credits sits above. Total development cost exceeded $40 million; direct public subsidy was under $8 million. The key was recruiting tenants whose business interests aligned with the senior population above them — making lease terms long and rents reliable.</w:t>
      </w:r>
    </w:p>
    <w:p w14:paraId="0000001C" w14:textId="77777777" w:rsidR="00C07C53" w:rsidRDefault="006D0B9F">
      <w:pPr>
        <w:spacing w:after="160"/>
      </w:pPr>
      <w:proofErr w:type="gramStart"/>
      <w:r>
        <w:rPr>
          <w:b/>
          <w:bCs/>
          <w:color w:val="1B3A5C"/>
        </w:rPr>
        <w:t>The Eliza</w:t>
      </w:r>
      <w:proofErr w:type="gramEnd"/>
      <w:r>
        <w:rPr>
          <w:b/>
          <w:bCs/>
          <w:color w:val="1B3A5C"/>
        </w:rPr>
        <w:t>, Brooklyn</w:t>
      </w:r>
      <w:r>
        <w:rPr>
          <w:color w:val="3D4A5C"/>
        </w:rPr>
        <w:t xml:space="preserve"> solved a deteriorating, undersized library with no capital funding by entering a ground lease with a residential developer. The </w:t>
      </w:r>
      <w:proofErr w:type="gramStart"/>
      <w:r>
        <w:rPr>
          <w:color w:val="3D4A5C"/>
        </w:rPr>
        <w:t>developer built</w:t>
      </w:r>
      <w:proofErr w:type="gramEnd"/>
      <w:r>
        <w:rPr>
          <w:color w:val="3D4A5C"/>
        </w:rPr>
        <w:t xml:space="preserve"> housing on the air rights above the library footprint and in exchange funded construction of a new library shell below. The library system retained land ownership permanently — keeping public land in public hands while using private development profit to deliver a public facility at no net capital cost.</w:t>
      </w:r>
    </w:p>
    <w:p w14:paraId="0000001D" w14:textId="77777777" w:rsidR="00C07C53" w:rsidRDefault="006D0B9F">
      <w:pPr>
        <w:spacing w:after="160"/>
      </w:pPr>
      <w:r>
        <w:rPr>
          <w:b/>
          <w:bCs/>
          <w:color w:val="1B3A5C"/>
        </w:rPr>
        <w:t>Sonoma County neighbors</w:t>
      </w:r>
      <w:r>
        <w:rPr>
          <w:color w:val="3D4A5C"/>
        </w:rPr>
        <w:t xml:space="preserve"> have used formal intergovernmental agreements to share civic facilities, with county departments co-locating in city-owned buildings in exchange for cost-sharing contributions. This model requires no merger, no loss of local control — only willingness to negotiate shared-cost </w:t>
      </w:r>
      <w:r>
        <w:rPr>
          <w:color w:val="3D4A5C"/>
        </w:rPr>
        <w:lastRenderedPageBreak/>
        <w:t>arrangements that serve all parties. The precedents for this kind of intergovernmental cooperation within Sonoma County are already well established.</w:t>
      </w:r>
    </w:p>
    <w:p w14:paraId="0000001E" w14:textId="77777777" w:rsidR="00C07C53" w:rsidRDefault="006D0B9F">
      <w:pPr>
        <w:spacing w:after="160"/>
      </w:pPr>
      <w:r>
        <w:rPr>
          <w:color w:val="3D4A5C"/>
        </w:rPr>
        <w:t>What distinguishes these communities is not that they were wealthier or had more political capital. It is that they structured their projects to serve multiple community needs simultaneously — which made them eligible for multiple funding streams simultaneously — which is what made the economics work. The aggregated need across four facilities is what transforms an otherwise marginal project into a compelling one for every funder at the table.</w:t>
      </w:r>
    </w:p>
    <w:p w14:paraId="00000021" w14:textId="77777777" w:rsidR="00C07C53" w:rsidRPr="00144AC0" w:rsidRDefault="006D0B9F">
      <w:pPr>
        <w:spacing w:before="360" w:after="60"/>
        <w:rPr>
          <w:sz w:val="22"/>
          <w:szCs w:val="22"/>
        </w:rPr>
      </w:pPr>
      <w:r w:rsidRPr="00144AC0">
        <w:rPr>
          <w:b/>
          <w:bCs/>
          <w:color w:val="2E7D6B"/>
          <w:sz w:val="18"/>
          <w:szCs w:val="18"/>
        </w:rPr>
        <w:t>PART THREE — HOW IT PAYS FOR ITSELF</w:t>
      </w:r>
    </w:p>
    <w:p w14:paraId="00000022" w14:textId="77777777" w:rsidR="00C07C53" w:rsidRDefault="006D0B9F" w:rsidP="003446EF">
      <w:pPr>
        <w:pStyle w:val="Heading1"/>
        <w:pBdr>
          <w:bottom w:val="single" w:sz="4" w:space="6" w:color="2E7D6B"/>
        </w:pBdr>
        <w:spacing w:before="240"/>
      </w:pPr>
      <w:r>
        <w:t>A Financial Architecture Built Around Private Capital and Structural Debt Avoidance</w:t>
      </w:r>
    </w:p>
    <w:p w14:paraId="00000023" w14:textId="77777777" w:rsidR="00C07C53" w:rsidRDefault="006D0B9F">
      <w:pPr>
        <w:spacing w:after="160"/>
      </w:pPr>
      <w:r>
        <w:rPr>
          <w:color w:val="3D4A5C"/>
        </w:rPr>
        <w:t>The most common concern about civic consolidation is the most legitimate one: what does it cost the taxpayer? This section addresses that directly, without overstatement. There is no model that makes a civic facility free. But there are structures that make it substantially more affordable than maintaining four fragmented, aging buildings indefinitely — and that protect the General Fund by relying first on private capital, philanthropic bridge funding, and dedicated tax-increment tools before any general obligation is considered.</w:t>
      </w:r>
    </w:p>
    <w:p w14:paraId="00000024" w14:textId="77777777" w:rsidR="00C07C53" w:rsidRDefault="006D0B9F">
      <w:pPr>
        <w:pStyle w:val="Heading2"/>
      </w:pPr>
      <w:r>
        <w:t>Private and Impact Investment: The Primary Engine</w:t>
      </w:r>
    </w:p>
    <w:p w14:paraId="00000025" w14:textId="77777777" w:rsidR="00C07C53" w:rsidRDefault="006D0B9F">
      <w:pPr>
        <w:spacing w:after="160"/>
      </w:pPr>
      <w:r>
        <w:rPr>
          <w:color w:val="3D4A5C"/>
        </w:rPr>
        <w:t xml:space="preserve">The most important shift in thinking about a project like this is who provides the capital. Municipal bond financing — borrowing against the general fund — is the most familiar model and often the least appropriate one for a mixed civic-commercial project. A consolidated campus that includes leasable professional space, health services, </w:t>
      </w:r>
      <w:proofErr w:type="gramStart"/>
      <w:r>
        <w:rPr>
          <w:color w:val="3D4A5C"/>
        </w:rPr>
        <w:t>child care</w:t>
      </w:r>
      <w:proofErr w:type="gramEnd"/>
      <w:r>
        <w:rPr>
          <w:color w:val="3D4A5C"/>
        </w:rPr>
        <w:t xml:space="preserve">, and a cafe is, in structural terms, a mixed-use real estate project with a civic anchor. That is exactly the kind of project that </w:t>
      </w:r>
      <w:proofErr w:type="gramStart"/>
      <w:r>
        <w:rPr>
          <w:color w:val="3D4A5C"/>
        </w:rPr>
        <w:t>impact</w:t>
      </w:r>
      <w:proofErr w:type="gramEnd"/>
      <w:r>
        <w:rPr>
          <w:color w:val="3D4A5C"/>
        </w:rPr>
        <w:t xml:space="preserve"> investors and mission-aligned private capital actively seek.</w:t>
      </w:r>
    </w:p>
    <w:p w14:paraId="00000026" w14:textId="77777777" w:rsidR="00C07C53" w:rsidRDefault="006D0B9F">
      <w:pPr>
        <w:spacing w:after="160"/>
      </w:pPr>
      <w:r>
        <w:rPr>
          <w:color w:val="3D4A5C"/>
        </w:rPr>
        <w:t xml:space="preserve">Impact investing has grown significantly as an asset class. Institutional investors — community development financial institutions (CDFIs), foundations deploying program-related investments (PRIs), and ESG-oriented funds — regularly provide below-market-rate debt or equity to projects that generate measurable community benefit alongside financial return. A civic campus that solves a documented library deficiency, relocates a flood-prone community center, and produces a net-zero energy footprint is a highly documentable impact investment. The city's role in this structure shifts from borrower to anchor and deal-maker — contributing land, regulatory approval, and long-term occupancy commitment, while private and philanthropic capital provides </w:t>
      </w:r>
      <w:proofErr w:type="gramStart"/>
      <w:r>
        <w:rPr>
          <w:color w:val="3D4A5C"/>
        </w:rPr>
        <w:t>the construction</w:t>
      </w:r>
      <w:proofErr w:type="gramEnd"/>
      <w:r>
        <w:rPr>
          <w:color w:val="3D4A5C"/>
        </w:rPr>
        <w:t xml:space="preserve"> financing.</w:t>
      </w:r>
    </w:p>
    <w:p w14:paraId="00000027" w14:textId="77777777" w:rsidR="00C07C53" w:rsidRDefault="006D0B9F">
      <w:pPr>
        <w:spacing w:after="160"/>
      </w:pPr>
      <w:r>
        <w:rPr>
          <w:color w:val="3D4A5C"/>
        </w:rPr>
        <w:t xml:space="preserve">The tenant-landlord model reinforces this. Professional tenants — medical and behavioral health practices, legal offices, co-working operators, </w:t>
      </w:r>
      <w:proofErr w:type="gramStart"/>
      <w:r>
        <w:rPr>
          <w:color w:val="3D4A5C"/>
        </w:rPr>
        <w:t>child care</w:t>
      </w:r>
      <w:proofErr w:type="gramEnd"/>
      <w:r>
        <w:rPr>
          <w:color w:val="3D4A5C"/>
        </w:rPr>
        <w:t xml:space="preserve"> — pay market-rate rents that </w:t>
      </w:r>
      <w:proofErr w:type="gramStart"/>
      <w:r>
        <w:rPr>
          <w:color w:val="3D4A5C"/>
        </w:rPr>
        <w:t>service</w:t>
      </w:r>
      <w:proofErr w:type="gramEnd"/>
      <w:r>
        <w:rPr>
          <w:color w:val="3D4A5C"/>
        </w:rPr>
        <w:t xml:space="preserve"> a meaningful portion of the facility's debt. These are not speculative revenue assumptions. Mission Creek delivered this with 92% lease-up within eighteen months of opening, because the tenant mix was curated to serve the same population that the public facilities serve — making the location premium for those tenants, not just convenient. A Sebastopol campus would draw from the same logic: health and wellness providers who benefit from proximity to senior programming; </w:t>
      </w:r>
      <w:proofErr w:type="gramStart"/>
      <w:r>
        <w:rPr>
          <w:color w:val="3D4A5C"/>
        </w:rPr>
        <w:t>child care</w:t>
      </w:r>
      <w:proofErr w:type="gramEnd"/>
      <w:r>
        <w:rPr>
          <w:color w:val="3D4A5C"/>
        </w:rPr>
        <w:t xml:space="preserve"> operators who benefit from library adjacency; a local cafe that benefits from consistent civic foot traffic.</w:t>
      </w:r>
    </w:p>
    <w:p w14:paraId="00000028" w14:textId="77777777" w:rsidR="00C07C53" w:rsidRDefault="006D0B9F" w:rsidP="003446EF">
      <w:pPr>
        <w:pStyle w:val="Heading2"/>
        <w:keepNext/>
      </w:pPr>
      <w:r>
        <w:t>The EIFD Structure: Tax Increment Without General Fund Debt</w:t>
      </w:r>
    </w:p>
    <w:p w14:paraId="00000029" w14:textId="77777777" w:rsidR="00C07C53" w:rsidRDefault="006D0B9F">
      <w:pPr>
        <w:spacing w:after="160"/>
      </w:pPr>
      <w:r>
        <w:rPr>
          <w:color w:val="3D4A5C"/>
        </w:rPr>
        <w:t xml:space="preserve">California's Enhanced Infrastructure Financing District (EIFD) is one of the most underutilized tools available to cities facing exactly this situation. An EIFD captures the incremental property tax growth generated by new development within a defined district — the increase above the baseline — and dedicates it to financing infrastructure in that district. Unlike </w:t>
      </w:r>
      <w:proofErr w:type="gramStart"/>
      <w:r>
        <w:rPr>
          <w:color w:val="3D4A5C"/>
        </w:rPr>
        <w:t>a general</w:t>
      </w:r>
      <w:proofErr w:type="gramEnd"/>
      <w:r>
        <w:rPr>
          <w:color w:val="3D4A5C"/>
        </w:rPr>
        <w:t xml:space="preserve"> obligation bond, an EIFD does not require voter approval, does not add to the city's debt service obligation from the General Fund, and does not compete with police, fire, or social services for repayment.</w:t>
      </w:r>
    </w:p>
    <w:p w14:paraId="0000002A" w14:textId="77777777" w:rsidR="00C07C53" w:rsidRDefault="006D0B9F">
      <w:pPr>
        <w:spacing w:after="160"/>
      </w:pPr>
      <w:r>
        <w:rPr>
          <w:color w:val="3D4A5C"/>
        </w:rPr>
        <w:lastRenderedPageBreak/>
        <w:t>The mechanics are straightforward: as the consolidated campus and any associated development increases property values in the surrounding area, the resulting tax increment flows into the EIFD rather than the general pool. Those funds are pledged to the bonds that financed the infrastructure. The city issues no general obligation; the project pays for itself through the value it creates. For a site of the scale being considered, in a location that would generate surrounding development activity, the EIFD is not a theoretical tool — it is the appropriate primary vehicle for the municipal contribution to the capital stack.</w:t>
      </w:r>
    </w:p>
    <w:p w14:paraId="0000002B" w14:textId="77777777" w:rsidR="00C07C53" w:rsidRDefault="006D0B9F">
      <w:pPr>
        <w:spacing w:after="160"/>
      </w:pPr>
      <w:r>
        <w:rPr>
          <w:color w:val="3D4A5C"/>
        </w:rPr>
        <w:t xml:space="preserve">Several California cities have now used EIFDs for civic and infrastructure projects, including Millbrae's transit-adjacent development and projects in </w:t>
      </w:r>
      <w:proofErr w:type="gramStart"/>
      <w:r>
        <w:rPr>
          <w:color w:val="3D4A5C"/>
        </w:rPr>
        <w:t>the Central</w:t>
      </w:r>
      <w:proofErr w:type="gramEnd"/>
      <w:r>
        <w:rPr>
          <w:color w:val="3D4A5C"/>
        </w:rPr>
        <w:t xml:space="preserve"> Valley. The State Treasurer's Office and the Governor's Office of Planning and Research have both published guidance encouraging their use for exactly the kind of multi-benefit civic projects Sebastopol is considering. Sebastopol's finance team and the committee should engage a public finance advisor to assess EIFD feasibility as a near-term planning step, independent of any site decision.</w:t>
      </w:r>
    </w:p>
    <w:p w14:paraId="0000002C" w14:textId="77777777" w:rsidR="00C07C53" w:rsidRDefault="006D0B9F">
      <w:pPr>
        <w:pStyle w:val="Heading2"/>
      </w:pPr>
      <w:r>
        <w:t>Philanthropic Bridge Funding: Protecting the General Fund During Development</w:t>
      </w:r>
    </w:p>
    <w:p w14:paraId="0000002D" w14:textId="77777777" w:rsidR="00C07C53" w:rsidRDefault="006D0B9F">
      <w:pPr>
        <w:spacing w:after="160"/>
      </w:pPr>
      <w:r>
        <w:rPr>
          <w:color w:val="3D4A5C"/>
        </w:rPr>
        <w:t>There is a gap in most civic project timelines between the moment a commitment is made and the moment grants, tax credits, and tenant revenues begin flowing. This gap — typically twelve to thirty-six months — is when projects most often draw on general fund reserves or short-term borrowing, creating the budget exposure that makes councils and communities nervous.</w:t>
      </w:r>
    </w:p>
    <w:p w14:paraId="0000002E" w14:textId="77777777" w:rsidR="00C07C53" w:rsidRDefault="006D0B9F">
      <w:pPr>
        <w:spacing w:after="160"/>
      </w:pPr>
      <w:r>
        <w:rPr>
          <w:color w:val="3D4A5C"/>
        </w:rPr>
        <w:t xml:space="preserve">Philanthropic bridge funding closes this gap without touching the General Fund. Sebastopol has a community of donors and foundations with demonstrated commitment to civic life, environmental resilience, and intergenerational programming — the Laguna restoration, the senior center, the library, and the arts community all have established donor bases. A structured campaign, led by a </w:t>
      </w:r>
      <w:proofErr w:type="gramStart"/>
      <w:r>
        <w:rPr>
          <w:color w:val="3D4A5C"/>
        </w:rPr>
        <w:t>fiscally-sponsored</w:t>
      </w:r>
      <w:proofErr w:type="gramEnd"/>
      <w:r>
        <w:rPr>
          <w:color w:val="3D4A5C"/>
        </w:rPr>
        <w:t xml:space="preserve"> nonprofit or a newly formed Friends of the Commons organization, could raise bridge capital in the $500,000 to $2,000,000 range that covers pre-development costs, feasibility studies, grant application support, and the early carrying costs of a project before larger capital flows. This is not a fundraising appeal for the full project — it is </w:t>
      </w:r>
      <w:proofErr w:type="gramStart"/>
      <w:r>
        <w:rPr>
          <w:color w:val="3D4A5C"/>
        </w:rPr>
        <w:t>targeted</w:t>
      </w:r>
      <w:proofErr w:type="gramEnd"/>
      <w:r>
        <w:rPr>
          <w:color w:val="3D4A5C"/>
        </w:rPr>
        <w:t xml:space="preserve"> bridge capital that protects the city's balance sheet during the most uncertain phase of development.</w:t>
      </w:r>
    </w:p>
    <w:p w14:paraId="0000002F" w14:textId="77777777" w:rsidR="00C07C53" w:rsidRDefault="006D0B9F">
      <w:pPr>
        <w:spacing w:after="160"/>
      </w:pPr>
      <w:r>
        <w:rPr>
          <w:color w:val="3D4A5C"/>
        </w:rPr>
        <w:t>Several comparable projects have used this structure successfully. The donor community benefits from first-mover recognition, named spaces, and the knowledge that their capital is unlocking a much larger public investment. The city benefits from a protected General Fund and a demonstrated community mandate that strengthens every grant application in the stack.</w:t>
      </w:r>
    </w:p>
    <w:p w14:paraId="00000030" w14:textId="77777777" w:rsidR="00C07C53" w:rsidRDefault="006D0B9F">
      <w:pPr>
        <w:pStyle w:val="Heading2"/>
      </w:pPr>
      <w:r>
        <w:t>The Capital Stack</w:t>
      </w:r>
    </w:p>
    <w:p w14:paraId="00000031" w14:textId="77777777" w:rsidR="00C07C53" w:rsidRDefault="006D0B9F">
      <w:pPr>
        <w:spacing w:after="160"/>
      </w:pPr>
      <w:r>
        <w:rPr>
          <w:color w:val="3D4A5C"/>
        </w:rPr>
        <w:t xml:space="preserve">The following represents </w:t>
      </w:r>
      <w:proofErr w:type="gramStart"/>
      <w:r>
        <w:rPr>
          <w:color w:val="3D4A5C"/>
        </w:rPr>
        <w:t>a realistic</w:t>
      </w:r>
      <w:proofErr w:type="gramEnd"/>
      <w:r>
        <w:rPr>
          <w:color w:val="3D4A5C"/>
        </w:rPr>
        <w:t>, defensible funding architecture. The emphasis is on sources that do not require general fund commitment until later layers of the stack are secured — protecting the city's fiscal position throughout the development process.</w:t>
      </w:r>
    </w:p>
    <w:p w14:paraId="00000032" w14:textId="3D5A49F3" w:rsidR="003446EF" w:rsidRDefault="003446EF">
      <w:r>
        <w:br w:type="page"/>
      </w:r>
    </w:p>
    <w:p w14:paraId="4BD3CCDD" w14:textId="77777777" w:rsidR="00C07C53" w:rsidRDefault="00C07C53">
      <w:pPr>
        <w:spacing w:before="40"/>
      </w:pPr>
    </w:p>
    <w:tbl>
      <w:tblPr>
        <w:tblStyle w:val="a1"/>
        <w:tblW w:w="98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00"/>
        <w:gridCol w:w="5640"/>
        <w:gridCol w:w="1170"/>
      </w:tblGrid>
      <w:tr w:rsidR="00C07C53" w14:paraId="78E60E7F" w14:textId="77777777" w:rsidTr="003446EF">
        <w:tc>
          <w:tcPr>
            <w:tcW w:w="3000" w:type="dxa"/>
            <w:tcBorders>
              <w:top w:val="nil"/>
              <w:left w:val="nil"/>
              <w:bottom w:val="single" w:sz="6" w:space="0" w:color="1B3A5C"/>
              <w:right w:val="nil"/>
            </w:tcBorders>
            <w:tcMar>
              <w:top w:w="80" w:type="dxa"/>
              <w:left w:w="0" w:type="dxa"/>
              <w:bottom w:w="80" w:type="dxa"/>
              <w:right w:w="0" w:type="dxa"/>
            </w:tcMar>
          </w:tcPr>
          <w:p w14:paraId="00000033" w14:textId="77777777" w:rsidR="00C07C53" w:rsidRDefault="006D0B9F">
            <w:r>
              <w:rPr>
                <w:b/>
                <w:bCs/>
                <w:color w:val="1B3A5C"/>
                <w:sz w:val="18"/>
                <w:szCs w:val="18"/>
              </w:rPr>
              <w:t>SOURCE</w:t>
            </w:r>
          </w:p>
        </w:tc>
        <w:tc>
          <w:tcPr>
            <w:tcW w:w="5640" w:type="dxa"/>
            <w:tcBorders>
              <w:top w:val="nil"/>
              <w:left w:val="nil"/>
              <w:bottom w:val="single" w:sz="6" w:space="0" w:color="1B3A5C"/>
              <w:right w:val="nil"/>
            </w:tcBorders>
            <w:tcMar>
              <w:top w:w="80" w:type="dxa"/>
              <w:left w:w="0" w:type="dxa"/>
              <w:bottom w:w="80" w:type="dxa"/>
              <w:right w:w="0" w:type="dxa"/>
            </w:tcMar>
          </w:tcPr>
          <w:p w14:paraId="00000034" w14:textId="77777777" w:rsidR="00C07C53" w:rsidRDefault="006D0B9F">
            <w:r>
              <w:rPr>
                <w:b/>
                <w:bCs/>
                <w:color w:val="1B3A5C"/>
                <w:sz w:val="18"/>
                <w:szCs w:val="18"/>
              </w:rPr>
              <w:t>BASIS FOR INCLUSION</w:t>
            </w:r>
          </w:p>
        </w:tc>
        <w:tc>
          <w:tcPr>
            <w:tcW w:w="1170" w:type="dxa"/>
            <w:tcBorders>
              <w:top w:val="nil"/>
              <w:left w:val="nil"/>
              <w:bottom w:val="single" w:sz="6" w:space="0" w:color="1B3A5C"/>
              <w:right w:val="nil"/>
            </w:tcBorders>
            <w:tcMar>
              <w:top w:w="80" w:type="dxa"/>
              <w:left w:w="0" w:type="dxa"/>
              <w:bottom w:w="80" w:type="dxa"/>
              <w:right w:w="0" w:type="dxa"/>
            </w:tcMar>
          </w:tcPr>
          <w:p w14:paraId="00000035" w14:textId="77777777" w:rsidR="00C07C53" w:rsidRDefault="006D0B9F">
            <w:pPr>
              <w:jc w:val="right"/>
            </w:pPr>
            <w:r>
              <w:rPr>
                <w:b/>
                <w:bCs/>
                <w:color w:val="1B3A5C"/>
                <w:sz w:val="18"/>
                <w:szCs w:val="18"/>
              </w:rPr>
              <w:t>RANGE</w:t>
            </w:r>
          </w:p>
        </w:tc>
      </w:tr>
      <w:tr w:rsidR="00C07C53" w14:paraId="2CC7040A" w14:textId="77777777" w:rsidTr="003446EF">
        <w:tc>
          <w:tcPr>
            <w:tcW w:w="3000" w:type="dxa"/>
            <w:tcBorders>
              <w:top w:val="nil"/>
              <w:left w:val="nil"/>
              <w:bottom w:val="single" w:sz="4" w:space="0" w:color="CBD5E0"/>
              <w:right w:val="nil"/>
            </w:tcBorders>
            <w:shd w:val="clear" w:color="auto" w:fill="FFFFFF"/>
            <w:tcMar>
              <w:top w:w="100" w:type="dxa"/>
              <w:left w:w="0" w:type="dxa"/>
              <w:bottom w:w="100" w:type="dxa"/>
              <w:right w:w="160" w:type="dxa"/>
            </w:tcMar>
          </w:tcPr>
          <w:p w14:paraId="00000036" w14:textId="77777777" w:rsidR="00C07C53" w:rsidRDefault="006D0B9F">
            <w:r>
              <w:rPr>
                <w:b/>
                <w:bCs/>
                <w:color w:val="1B3A5C"/>
                <w:sz w:val="20"/>
                <w:szCs w:val="20"/>
              </w:rPr>
              <w:t>Philanthropic bridge &amp; pre-development</w:t>
            </w:r>
          </w:p>
        </w:tc>
        <w:tc>
          <w:tcPr>
            <w:tcW w:w="5640" w:type="dxa"/>
            <w:tcBorders>
              <w:top w:val="nil"/>
              <w:left w:val="nil"/>
              <w:bottom w:val="single" w:sz="4" w:space="0" w:color="CBD5E0"/>
              <w:right w:val="nil"/>
            </w:tcBorders>
            <w:shd w:val="clear" w:color="auto" w:fill="FFFFFF"/>
            <w:tcMar>
              <w:top w:w="100" w:type="dxa"/>
              <w:left w:w="0" w:type="dxa"/>
              <w:bottom w:w="100" w:type="dxa"/>
              <w:right w:w="160" w:type="dxa"/>
            </w:tcMar>
          </w:tcPr>
          <w:p w14:paraId="00000037" w14:textId="77777777" w:rsidR="00C07C53" w:rsidRDefault="006D0B9F">
            <w:r>
              <w:rPr>
                <w:color w:val="3D4A5C"/>
                <w:sz w:val="20"/>
                <w:szCs w:val="20"/>
              </w:rPr>
              <w:t xml:space="preserve">Donor-led campaign through Friends of the Commons or </w:t>
            </w:r>
            <w:proofErr w:type="gramStart"/>
            <w:r>
              <w:rPr>
                <w:color w:val="3D4A5C"/>
                <w:sz w:val="20"/>
                <w:szCs w:val="20"/>
              </w:rPr>
              <w:t>fiscally-sponsored</w:t>
            </w:r>
            <w:proofErr w:type="gramEnd"/>
            <w:r>
              <w:rPr>
                <w:color w:val="3D4A5C"/>
                <w:sz w:val="20"/>
                <w:szCs w:val="20"/>
              </w:rPr>
              <w:t xml:space="preserve"> nonprofit; protects General Fund during development phase; first-mover recognition and named spaces</w:t>
            </w:r>
          </w:p>
        </w:tc>
        <w:tc>
          <w:tcPr>
            <w:tcW w:w="1170" w:type="dxa"/>
            <w:tcBorders>
              <w:top w:val="nil"/>
              <w:left w:val="nil"/>
              <w:bottom w:val="single" w:sz="4" w:space="0" w:color="CBD5E0"/>
              <w:right w:val="nil"/>
            </w:tcBorders>
            <w:shd w:val="clear" w:color="auto" w:fill="FFFFFF"/>
            <w:tcMar>
              <w:top w:w="100" w:type="dxa"/>
              <w:left w:w="0" w:type="dxa"/>
              <w:bottom w:w="100" w:type="dxa"/>
              <w:right w:w="0" w:type="dxa"/>
            </w:tcMar>
          </w:tcPr>
          <w:p w14:paraId="00000038" w14:textId="77777777" w:rsidR="00C07C53" w:rsidRDefault="006D0B9F">
            <w:pPr>
              <w:jc w:val="right"/>
            </w:pPr>
            <w:r>
              <w:rPr>
                <w:b/>
                <w:bCs/>
                <w:color w:val="2E7D6B"/>
                <w:sz w:val="20"/>
                <w:szCs w:val="20"/>
              </w:rPr>
              <w:t>$500K–$2M</w:t>
            </w:r>
          </w:p>
        </w:tc>
      </w:tr>
      <w:tr w:rsidR="00C07C53" w14:paraId="69F2CEAB" w14:textId="77777777" w:rsidTr="003446EF">
        <w:tc>
          <w:tcPr>
            <w:tcW w:w="3000" w:type="dxa"/>
            <w:tcBorders>
              <w:top w:val="nil"/>
              <w:left w:val="nil"/>
              <w:bottom w:val="single" w:sz="4" w:space="0" w:color="CBD5E0"/>
              <w:right w:val="nil"/>
            </w:tcBorders>
            <w:shd w:val="clear" w:color="auto" w:fill="F2F4F7"/>
            <w:tcMar>
              <w:top w:w="100" w:type="dxa"/>
              <w:left w:w="0" w:type="dxa"/>
              <w:bottom w:w="100" w:type="dxa"/>
              <w:right w:w="160" w:type="dxa"/>
            </w:tcMar>
          </w:tcPr>
          <w:p w14:paraId="00000039" w14:textId="77777777" w:rsidR="00C07C53" w:rsidRDefault="006D0B9F">
            <w:r>
              <w:rPr>
                <w:b/>
                <w:bCs/>
                <w:color w:val="1B3A5C"/>
                <w:sz w:val="20"/>
                <w:szCs w:val="20"/>
              </w:rPr>
              <w:t>Impact investors / CDFIs / PRIs</w:t>
            </w:r>
          </w:p>
        </w:tc>
        <w:tc>
          <w:tcPr>
            <w:tcW w:w="5640" w:type="dxa"/>
            <w:tcBorders>
              <w:top w:val="nil"/>
              <w:left w:val="nil"/>
              <w:bottom w:val="single" w:sz="4" w:space="0" w:color="CBD5E0"/>
              <w:right w:val="nil"/>
            </w:tcBorders>
            <w:shd w:val="clear" w:color="auto" w:fill="F2F4F7"/>
            <w:tcMar>
              <w:top w:w="100" w:type="dxa"/>
              <w:left w:w="0" w:type="dxa"/>
              <w:bottom w:w="100" w:type="dxa"/>
              <w:right w:w="160" w:type="dxa"/>
            </w:tcMar>
          </w:tcPr>
          <w:p w14:paraId="0000003A" w14:textId="77777777" w:rsidR="00C07C53" w:rsidRDefault="006D0B9F">
            <w:r>
              <w:rPr>
                <w:color w:val="3D4A5C"/>
                <w:sz w:val="20"/>
                <w:szCs w:val="20"/>
              </w:rPr>
              <w:t>Below-market debt or equity from mission-aligned institutional investors; project's documented civic, environmental, and community health benefits are strong qualification criteria</w:t>
            </w:r>
          </w:p>
        </w:tc>
        <w:tc>
          <w:tcPr>
            <w:tcW w:w="1170" w:type="dxa"/>
            <w:tcBorders>
              <w:top w:val="nil"/>
              <w:left w:val="nil"/>
              <w:bottom w:val="single" w:sz="4" w:space="0" w:color="CBD5E0"/>
              <w:right w:val="nil"/>
            </w:tcBorders>
            <w:shd w:val="clear" w:color="auto" w:fill="F2F4F7"/>
            <w:tcMar>
              <w:top w:w="100" w:type="dxa"/>
              <w:left w:w="0" w:type="dxa"/>
              <w:bottom w:w="100" w:type="dxa"/>
              <w:right w:w="0" w:type="dxa"/>
            </w:tcMar>
          </w:tcPr>
          <w:p w14:paraId="0000003B" w14:textId="77777777" w:rsidR="00C07C53" w:rsidRDefault="006D0B9F">
            <w:pPr>
              <w:jc w:val="right"/>
            </w:pPr>
            <w:r>
              <w:rPr>
                <w:b/>
                <w:bCs/>
                <w:color w:val="2E7D6B"/>
                <w:sz w:val="20"/>
                <w:szCs w:val="20"/>
              </w:rPr>
              <w:t>$4M–$8M</w:t>
            </w:r>
          </w:p>
        </w:tc>
      </w:tr>
      <w:tr w:rsidR="00C07C53" w14:paraId="22EF6A90" w14:textId="77777777" w:rsidTr="003446EF">
        <w:tc>
          <w:tcPr>
            <w:tcW w:w="3000" w:type="dxa"/>
            <w:tcBorders>
              <w:top w:val="nil"/>
              <w:left w:val="nil"/>
              <w:bottom w:val="single" w:sz="4" w:space="0" w:color="CBD5E0"/>
              <w:right w:val="nil"/>
            </w:tcBorders>
            <w:shd w:val="clear" w:color="auto" w:fill="FFFFFF"/>
            <w:tcMar>
              <w:top w:w="100" w:type="dxa"/>
              <w:left w:w="0" w:type="dxa"/>
              <w:bottom w:w="100" w:type="dxa"/>
              <w:right w:w="160" w:type="dxa"/>
            </w:tcMar>
          </w:tcPr>
          <w:p w14:paraId="0000003C" w14:textId="77777777" w:rsidR="00C07C53" w:rsidRDefault="006D0B9F">
            <w:r>
              <w:rPr>
                <w:b/>
                <w:bCs/>
                <w:color w:val="1B3A5C"/>
                <w:sz w:val="20"/>
                <w:szCs w:val="20"/>
              </w:rPr>
              <w:t>CA State Library / Other Construction Grants</w:t>
            </w:r>
          </w:p>
        </w:tc>
        <w:tc>
          <w:tcPr>
            <w:tcW w:w="5640" w:type="dxa"/>
            <w:tcBorders>
              <w:top w:val="nil"/>
              <w:left w:val="nil"/>
              <w:bottom w:val="single" w:sz="4" w:space="0" w:color="CBD5E0"/>
              <w:right w:val="nil"/>
            </w:tcBorders>
            <w:shd w:val="clear" w:color="auto" w:fill="FFFFFF"/>
            <w:tcMar>
              <w:top w:w="100" w:type="dxa"/>
              <w:left w:w="0" w:type="dxa"/>
              <w:bottom w:w="100" w:type="dxa"/>
              <w:right w:w="160" w:type="dxa"/>
            </w:tcMar>
          </w:tcPr>
          <w:p w14:paraId="0000003D" w14:textId="77777777" w:rsidR="00C07C53" w:rsidRDefault="006D0B9F">
            <w:r>
              <w:rPr>
                <w:color w:val="3D4A5C"/>
                <w:sz w:val="20"/>
                <w:szCs w:val="20"/>
              </w:rPr>
              <w:t>Documented ~50% space deficiency vs. state standards; competitive grant program designed for exactly this documented shortfall</w:t>
            </w:r>
          </w:p>
        </w:tc>
        <w:tc>
          <w:tcPr>
            <w:tcW w:w="1170" w:type="dxa"/>
            <w:tcBorders>
              <w:top w:val="nil"/>
              <w:left w:val="nil"/>
              <w:bottom w:val="single" w:sz="4" w:space="0" w:color="CBD5E0"/>
              <w:right w:val="nil"/>
            </w:tcBorders>
            <w:shd w:val="clear" w:color="auto" w:fill="FFFFFF"/>
            <w:tcMar>
              <w:top w:w="100" w:type="dxa"/>
              <w:left w:w="0" w:type="dxa"/>
              <w:bottom w:w="100" w:type="dxa"/>
              <w:right w:w="0" w:type="dxa"/>
            </w:tcMar>
          </w:tcPr>
          <w:p w14:paraId="0000003E" w14:textId="77777777" w:rsidR="00C07C53" w:rsidRDefault="006D0B9F">
            <w:pPr>
              <w:jc w:val="right"/>
            </w:pPr>
            <w:r>
              <w:rPr>
                <w:b/>
                <w:bCs/>
                <w:color w:val="2E7D6B"/>
                <w:sz w:val="20"/>
                <w:szCs w:val="20"/>
              </w:rPr>
              <w:t>$4M–$6M</w:t>
            </w:r>
          </w:p>
        </w:tc>
      </w:tr>
      <w:tr w:rsidR="00C07C53" w14:paraId="55D7D421" w14:textId="77777777" w:rsidTr="003446EF">
        <w:tc>
          <w:tcPr>
            <w:tcW w:w="3000" w:type="dxa"/>
            <w:tcBorders>
              <w:top w:val="nil"/>
              <w:left w:val="nil"/>
              <w:bottom w:val="single" w:sz="4" w:space="0" w:color="CBD5E0"/>
              <w:right w:val="nil"/>
            </w:tcBorders>
            <w:shd w:val="clear" w:color="auto" w:fill="F2F4F7"/>
            <w:tcMar>
              <w:top w:w="100" w:type="dxa"/>
              <w:left w:w="0" w:type="dxa"/>
              <w:bottom w:w="100" w:type="dxa"/>
              <w:right w:w="160" w:type="dxa"/>
            </w:tcMar>
          </w:tcPr>
          <w:p w14:paraId="0000003F" w14:textId="77777777" w:rsidR="00C07C53" w:rsidRDefault="006D0B9F">
            <w:r>
              <w:rPr>
                <w:b/>
                <w:bCs/>
                <w:color w:val="1B3A5C"/>
                <w:sz w:val="20"/>
                <w:szCs w:val="20"/>
              </w:rPr>
              <w:t>FEMA Flood Mitigation Assistance</w:t>
            </w:r>
          </w:p>
        </w:tc>
        <w:tc>
          <w:tcPr>
            <w:tcW w:w="5640" w:type="dxa"/>
            <w:tcBorders>
              <w:top w:val="nil"/>
              <w:left w:val="nil"/>
              <w:bottom w:val="single" w:sz="4" w:space="0" w:color="CBD5E0"/>
              <w:right w:val="nil"/>
            </w:tcBorders>
            <w:shd w:val="clear" w:color="auto" w:fill="F2F4F7"/>
            <w:tcMar>
              <w:top w:w="100" w:type="dxa"/>
              <w:left w:w="0" w:type="dxa"/>
              <w:bottom w:w="100" w:type="dxa"/>
              <w:right w:w="160" w:type="dxa"/>
            </w:tcMar>
          </w:tcPr>
          <w:p w14:paraId="00000040" w14:textId="77777777" w:rsidR="00C07C53" w:rsidRDefault="006D0B9F">
            <w:r>
              <w:rPr>
                <w:color w:val="3D4A5C"/>
                <w:sz w:val="20"/>
                <w:szCs w:val="20"/>
              </w:rPr>
              <w:t>SCCC's documented flood history and CIP-adopted master plan studying relocation; strong candidate for FMA program designed to permanently relocate repetitive-loss structures</w:t>
            </w:r>
          </w:p>
        </w:tc>
        <w:tc>
          <w:tcPr>
            <w:tcW w:w="1170" w:type="dxa"/>
            <w:tcBorders>
              <w:top w:val="nil"/>
              <w:left w:val="nil"/>
              <w:bottom w:val="single" w:sz="4" w:space="0" w:color="CBD5E0"/>
              <w:right w:val="nil"/>
            </w:tcBorders>
            <w:shd w:val="clear" w:color="auto" w:fill="F2F4F7"/>
            <w:tcMar>
              <w:top w:w="100" w:type="dxa"/>
              <w:left w:w="0" w:type="dxa"/>
              <w:bottom w:w="100" w:type="dxa"/>
              <w:right w:w="0" w:type="dxa"/>
            </w:tcMar>
          </w:tcPr>
          <w:p w14:paraId="00000041" w14:textId="77777777" w:rsidR="00C07C53" w:rsidRDefault="006D0B9F">
            <w:pPr>
              <w:jc w:val="right"/>
            </w:pPr>
            <w:r>
              <w:rPr>
                <w:b/>
                <w:bCs/>
                <w:color w:val="2E7D6B"/>
                <w:sz w:val="20"/>
                <w:szCs w:val="20"/>
              </w:rPr>
              <w:t>$1M–$3M</w:t>
            </w:r>
          </w:p>
        </w:tc>
      </w:tr>
      <w:tr w:rsidR="00C07C53" w14:paraId="53F1CA35" w14:textId="77777777" w:rsidTr="003446EF">
        <w:tc>
          <w:tcPr>
            <w:tcW w:w="3000" w:type="dxa"/>
            <w:tcBorders>
              <w:top w:val="nil"/>
              <w:left w:val="nil"/>
              <w:bottom w:val="single" w:sz="4" w:space="0" w:color="CBD5E0"/>
              <w:right w:val="nil"/>
            </w:tcBorders>
            <w:shd w:val="clear" w:color="auto" w:fill="FFFFFF"/>
            <w:tcMar>
              <w:top w:w="100" w:type="dxa"/>
              <w:left w:w="0" w:type="dxa"/>
              <w:bottom w:w="100" w:type="dxa"/>
              <w:right w:w="160" w:type="dxa"/>
            </w:tcMar>
          </w:tcPr>
          <w:p w14:paraId="00000042" w14:textId="77777777" w:rsidR="00C07C53" w:rsidRDefault="006D0B9F">
            <w:r>
              <w:rPr>
                <w:b/>
                <w:bCs/>
                <w:color w:val="1B3A5C"/>
                <w:sz w:val="20"/>
                <w:szCs w:val="20"/>
              </w:rPr>
              <w:t>Federal CDBG / USDA Community Facilities</w:t>
            </w:r>
          </w:p>
        </w:tc>
        <w:tc>
          <w:tcPr>
            <w:tcW w:w="5640" w:type="dxa"/>
            <w:tcBorders>
              <w:top w:val="nil"/>
              <w:left w:val="nil"/>
              <w:bottom w:val="single" w:sz="4" w:space="0" w:color="CBD5E0"/>
              <w:right w:val="nil"/>
            </w:tcBorders>
            <w:shd w:val="clear" w:color="auto" w:fill="FFFFFF"/>
            <w:tcMar>
              <w:top w:w="100" w:type="dxa"/>
              <w:left w:w="0" w:type="dxa"/>
              <w:bottom w:w="100" w:type="dxa"/>
              <w:right w:w="160" w:type="dxa"/>
            </w:tcMar>
          </w:tcPr>
          <w:p w14:paraId="00000043" w14:textId="77777777" w:rsidR="00C07C53" w:rsidRDefault="006D0B9F">
            <w:r>
              <w:rPr>
                <w:color w:val="3D4A5C"/>
                <w:sz w:val="20"/>
                <w:szCs w:val="20"/>
              </w:rPr>
              <w:t>Small city designation and documented service to low-to-moderate income residents; non-competitive at this scale if documentation is in order</w:t>
            </w:r>
          </w:p>
        </w:tc>
        <w:tc>
          <w:tcPr>
            <w:tcW w:w="1170" w:type="dxa"/>
            <w:tcBorders>
              <w:top w:val="nil"/>
              <w:left w:val="nil"/>
              <w:bottom w:val="single" w:sz="4" w:space="0" w:color="CBD5E0"/>
              <w:right w:val="nil"/>
            </w:tcBorders>
            <w:shd w:val="clear" w:color="auto" w:fill="FFFFFF"/>
            <w:tcMar>
              <w:top w:w="100" w:type="dxa"/>
              <w:left w:w="0" w:type="dxa"/>
              <w:bottom w:w="100" w:type="dxa"/>
              <w:right w:w="0" w:type="dxa"/>
            </w:tcMar>
          </w:tcPr>
          <w:p w14:paraId="00000044" w14:textId="77777777" w:rsidR="00C07C53" w:rsidRDefault="006D0B9F">
            <w:pPr>
              <w:jc w:val="right"/>
            </w:pPr>
            <w:r>
              <w:rPr>
                <w:b/>
                <w:bCs/>
                <w:color w:val="2E7D6B"/>
                <w:sz w:val="20"/>
                <w:szCs w:val="20"/>
              </w:rPr>
              <w:t>$2M–$4M</w:t>
            </w:r>
          </w:p>
        </w:tc>
      </w:tr>
      <w:tr w:rsidR="00C07C53" w14:paraId="7DE73362" w14:textId="77777777" w:rsidTr="003446EF">
        <w:tc>
          <w:tcPr>
            <w:tcW w:w="3000" w:type="dxa"/>
            <w:tcBorders>
              <w:top w:val="nil"/>
              <w:left w:val="nil"/>
              <w:bottom w:val="single" w:sz="4" w:space="0" w:color="CBD5E0"/>
              <w:right w:val="nil"/>
            </w:tcBorders>
            <w:shd w:val="clear" w:color="auto" w:fill="F2F4F7"/>
            <w:tcMar>
              <w:top w:w="100" w:type="dxa"/>
              <w:left w:w="0" w:type="dxa"/>
              <w:bottom w:w="100" w:type="dxa"/>
              <w:right w:w="160" w:type="dxa"/>
            </w:tcMar>
          </w:tcPr>
          <w:p w14:paraId="00000045" w14:textId="77777777" w:rsidR="00C07C53" w:rsidRPr="003446EF" w:rsidRDefault="006D0B9F">
            <w:pPr>
              <w:rPr>
                <w:lang w:val="pt-BR"/>
              </w:rPr>
            </w:pPr>
            <w:r w:rsidRPr="003446EF">
              <w:rPr>
                <w:b/>
                <w:bCs/>
                <w:color w:val="1B3A5C"/>
                <w:sz w:val="20"/>
                <w:szCs w:val="20"/>
                <w:lang w:val="pt-BR"/>
              </w:rPr>
              <w:t xml:space="preserve">IRA Energy </w:t>
            </w:r>
            <w:proofErr w:type="spellStart"/>
            <w:r w:rsidRPr="003446EF">
              <w:rPr>
                <w:b/>
                <w:bCs/>
                <w:color w:val="1B3A5C"/>
                <w:sz w:val="20"/>
                <w:szCs w:val="20"/>
                <w:lang w:val="pt-BR"/>
              </w:rPr>
              <w:t>Credits</w:t>
            </w:r>
            <w:proofErr w:type="spellEnd"/>
            <w:r w:rsidRPr="003446EF">
              <w:rPr>
                <w:b/>
                <w:bCs/>
                <w:color w:val="1B3A5C"/>
                <w:sz w:val="20"/>
                <w:szCs w:val="20"/>
                <w:lang w:val="pt-BR"/>
              </w:rPr>
              <w:t xml:space="preserve"> / Solar PPA / NEVI</w:t>
            </w:r>
          </w:p>
        </w:tc>
        <w:tc>
          <w:tcPr>
            <w:tcW w:w="5640" w:type="dxa"/>
            <w:tcBorders>
              <w:top w:val="nil"/>
              <w:left w:val="nil"/>
              <w:bottom w:val="single" w:sz="4" w:space="0" w:color="CBD5E0"/>
              <w:right w:val="nil"/>
            </w:tcBorders>
            <w:shd w:val="clear" w:color="auto" w:fill="F2F4F7"/>
            <w:tcMar>
              <w:top w:w="100" w:type="dxa"/>
              <w:left w:w="0" w:type="dxa"/>
              <w:bottom w:w="100" w:type="dxa"/>
              <w:right w:w="160" w:type="dxa"/>
            </w:tcMar>
          </w:tcPr>
          <w:p w14:paraId="00000046" w14:textId="77777777" w:rsidR="00C07C53" w:rsidRDefault="006D0B9F">
            <w:r>
              <w:rPr>
                <w:color w:val="3D4A5C"/>
                <w:sz w:val="20"/>
                <w:szCs w:val="20"/>
              </w:rPr>
              <w:t>IRA direct pay for tax-exempt entities; Sonoma Clean Power affiliation; NEVI formula grants for EV infrastructure; zero upfront cost through PPA structure</w:t>
            </w:r>
          </w:p>
        </w:tc>
        <w:tc>
          <w:tcPr>
            <w:tcW w:w="1170" w:type="dxa"/>
            <w:tcBorders>
              <w:top w:val="nil"/>
              <w:left w:val="nil"/>
              <w:bottom w:val="single" w:sz="4" w:space="0" w:color="CBD5E0"/>
              <w:right w:val="nil"/>
            </w:tcBorders>
            <w:shd w:val="clear" w:color="auto" w:fill="F2F4F7"/>
            <w:tcMar>
              <w:top w:w="100" w:type="dxa"/>
              <w:left w:w="0" w:type="dxa"/>
              <w:bottom w:w="100" w:type="dxa"/>
              <w:right w:w="0" w:type="dxa"/>
            </w:tcMar>
          </w:tcPr>
          <w:p w14:paraId="00000047" w14:textId="77777777" w:rsidR="00C07C53" w:rsidRDefault="006D0B9F">
            <w:pPr>
              <w:jc w:val="right"/>
            </w:pPr>
            <w:r>
              <w:rPr>
                <w:b/>
                <w:bCs/>
                <w:color w:val="2E7D6B"/>
                <w:sz w:val="20"/>
                <w:szCs w:val="20"/>
              </w:rPr>
              <w:t>$1M–$2M</w:t>
            </w:r>
          </w:p>
        </w:tc>
      </w:tr>
      <w:tr w:rsidR="00C07C53" w14:paraId="29AB3887" w14:textId="77777777" w:rsidTr="003446EF">
        <w:tc>
          <w:tcPr>
            <w:tcW w:w="3000" w:type="dxa"/>
            <w:tcBorders>
              <w:top w:val="nil"/>
              <w:left w:val="nil"/>
              <w:bottom w:val="single" w:sz="4" w:space="0" w:color="CBD5E0"/>
              <w:right w:val="nil"/>
            </w:tcBorders>
            <w:shd w:val="clear" w:color="auto" w:fill="FFFFFF"/>
            <w:tcMar>
              <w:top w:w="100" w:type="dxa"/>
              <w:left w:w="0" w:type="dxa"/>
              <w:bottom w:w="100" w:type="dxa"/>
              <w:right w:w="160" w:type="dxa"/>
            </w:tcMar>
          </w:tcPr>
          <w:p w14:paraId="00000048" w14:textId="77777777" w:rsidR="00C07C53" w:rsidRDefault="006D0B9F">
            <w:r>
              <w:rPr>
                <w:b/>
                <w:bCs/>
                <w:color w:val="1B3A5C"/>
                <w:sz w:val="20"/>
                <w:szCs w:val="20"/>
              </w:rPr>
              <w:t>EIFD (Enhanced Infrastructure Financing District)</w:t>
            </w:r>
          </w:p>
        </w:tc>
        <w:tc>
          <w:tcPr>
            <w:tcW w:w="5640" w:type="dxa"/>
            <w:tcBorders>
              <w:top w:val="nil"/>
              <w:left w:val="nil"/>
              <w:bottom w:val="single" w:sz="4" w:space="0" w:color="CBD5E0"/>
              <w:right w:val="nil"/>
            </w:tcBorders>
            <w:shd w:val="clear" w:color="auto" w:fill="FFFFFF"/>
            <w:tcMar>
              <w:top w:w="100" w:type="dxa"/>
              <w:left w:w="0" w:type="dxa"/>
              <w:bottom w:w="100" w:type="dxa"/>
              <w:right w:w="160" w:type="dxa"/>
            </w:tcMar>
          </w:tcPr>
          <w:p w14:paraId="00000049" w14:textId="77777777" w:rsidR="00C07C53" w:rsidRDefault="006D0B9F">
            <w:r>
              <w:rPr>
                <w:color w:val="3D4A5C"/>
                <w:sz w:val="20"/>
                <w:szCs w:val="20"/>
              </w:rPr>
              <w:t xml:space="preserve">Tax increment from surrounding </w:t>
            </w:r>
            <w:proofErr w:type="gramStart"/>
            <w:r>
              <w:rPr>
                <w:color w:val="3D4A5C"/>
                <w:sz w:val="20"/>
                <w:szCs w:val="20"/>
              </w:rPr>
              <w:t>development —</w:t>
            </w:r>
            <w:proofErr w:type="gramEnd"/>
            <w:r>
              <w:rPr>
                <w:color w:val="3D4A5C"/>
                <w:sz w:val="20"/>
                <w:szCs w:val="20"/>
              </w:rPr>
              <w:t xml:space="preserve"> no general fund obligation, no voter approval required; captures value created by the project to finance the project</w:t>
            </w:r>
          </w:p>
        </w:tc>
        <w:tc>
          <w:tcPr>
            <w:tcW w:w="1170" w:type="dxa"/>
            <w:tcBorders>
              <w:top w:val="nil"/>
              <w:left w:val="nil"/>
              <w:bottom w:val="single" w:sz="4" w:space="0" w:color="CBD5E0"/>
              <w:right w:val="nil"/>
            </w:tcBorders>
            <w:shd w:val="clear" w:color="auto" w:fill="FFFFFF"/>
            <w:tcMar>
              <w:top w:w="100" w:type="dxa"/>
              <w:left w:w="0" w:type="dxa"/>
              <w:bottom w:w="100" w:type="dxa"/>
              <w:right w:w="0" w:type="dxa"/>
            </w:tcMar>
          </w:tcPr>
          <w:p w14:paraId="0000004A" w14:textId="77777777" w:rsidR="00C07C53" w:rsidRDefault="006D0B9F">
            <w:pPr>
              <w:jc w:val="right"/>
            </w:pPr>
            <w:r>
              <w:rPr>
                <w:b/>
                <w:bCs/>
                <w:color w:val="2E7D6B"/>
                <w:sz w:val="20"/>
                <w:szCs w:val="20"/>
              </w:rPr>
              <w:t>$3M–$6M</w:t>
            </w:r>
          </w:p>
        </w:tc>
      </w:tr>
      <w:tr w:rsidR="00C07C53" w14:paraId="28A46BAF" w14:textId="77777777" w:rsidTr="003446EF">
        <w:tc>
          <w:tcPr>
            <w:tcW w:w="3000" w:type="dxa"/>
            <w:tcBorders>
              <w:top w:val="nil"/>
              <w:left w:val="nil"/>
              <w:bottom w:val="single" w:sz="4" w:space="0" w:color="CBD5E0"/>
              <w:right w:val="nil"/>
            </w:tcBorders>
            <w:shd w:val="clear" w:color="auto" w:fill="F2F4F7"/>
            <w:tcMar>
              <w:top w:w="100" w:type="dxa"/>
              <w:left w:w="0" w:type="dxa"/>
              <w:bottom w:w="100" w:type="dxa"/>
              <w:right w:w="160" w:type="dxa"/>
            </w:tcMar>
          </w:tcPr>
          <w:p w14:paraId="0000004B" w14:textId="77777777" w:rsidR="00C07C53" w:rsidRDefault="006D0B9F">
            <w:r>
              <w:rPr>
                <w:b/>
                <w:bCs/>
                <w:color w:val="1B3A5C"/>
                <w:sz w:val="20"/>
                <w:szCs w:val="20"/>
              </w:rPr>
              <w:t>County / intergovernmental participation</w:t>
            </w:r>
          </w:p>
        </w:tc>
        <w:tc>
          <w:tcPr>
            <w:tcW w:w="5640" w:type="dxa"/>
            <w:tcBorders>
              <w:top w:val="nil"/>
              <w:left w:val="nil"/>
              <w:bottom w:val="single" w:sz="4" w:space="0" w:color="CBD5E0"/>
              <w:right w:val="nil"/>
            </w:tcBorders>
            <w:shd w:val="clear" w:color="auto" w:fill="F2F4F7"/>
            <w:tcMar>
              <w:top w:w="100" w:type="dxa"/>
              <w:left w:w="0" w:type="dxa"/>
              <w:bottom w:w="100" w:type="dxa"/>
              <w:right w:w="160" w:type="dxa"/>
            </w:tcMar>
          </w:tcPr>
          <w:p w14:paraId="0000004C" w14:textId="77777777" w:rsidR="00C07C53" w:rsidRDefault="006D0B9F">
            <w:r>
              <w:rPr>
                <w:color w:val="3D4A5C"/>
                <w:sz w:val="20"/>
                <w:szCs w:val="20"/>
              </w:rPr>
              <w:t>Sonoma County cost-sharing in exchange for co-location access; precedent exists within the county; reduces net city obligation</w:t>
            </w:r>
          </w:p>
        </w:tc>
        <w:tc>
          <w:tcPr>
            <w:tcW w:w="1170" w:type="dxa"/>
            <w:tcBorders>
              <w:top w:val="nil"/>
              <w:left w:val="nil"/>
              <w:bottom w:val="single" w:sz="4" w:space="0" w:color="CBD5E0"/>
              <w:right w:val="nil"/>
            </w:tcBorders>
            <w:shd w:val="clear" w:color="auto" w:fill="F2F4F7"/>
            <w:tcMar>
              <w:top w:w="100" w:type="dxa"/>
              <w:left w:w="0" w:type="dxa"/>
              <w:bottom w:w="100" w:type="dxa"/>
              <w:right w:w="0" w:type="dxa"/>
            </w:tcMar>
          </w:tcPr>
          <w:p w14:paraId="0000004D" w14:textId="77777777" w:rsidR="00C07C53" w:rsidRDefault="006D0B9F">
            <w:pPr>
              <w:jc w:val="right"/>
            </w:pPr>
            <w:r>
              <w:rPr>
                <w:b/>
                <w:bCs/>
                <w:color w:val="2E7D6B"/>
                <w:sz w:val="20"/>
                <w:szCs w:val="20"/>
              </w:rPr>
              <w:t>$1M–$3M</w:t>
            </w:r>
          </w:p>
        </w:tc>
      </w:tr>
      <w:tr w:rsidR="00C07C53" w14:paraId="46C3EDD8" w14:textId="77777777" w:rsidTr="003446EF">
        <w:tc>
          <w:tcPr>
            <w:tcW w:w="3000" w:type="dxa"/>
            <w:tcBorders>
              <w:top w:val="single" w:sz="6" w:space="0" w:color="1B3A5C"/>
              <w:left w:val="nil"/>
              <w:bottom w:val="nil"/>
              <w:right w:val="nil"/>
            </w:tcBorders>
            <w:tcMar>
              <w:top w:w="100" w:type="dxa"/>
              <w:left w:w="0" w:type="dxa"/>
              <w:bottom w:w="100" w:type="dxa"/>
              <w:right w:w="0" w:type="dxa"/>
            </w:tcMar>
          </w:tcPr>
          <w:p w14:paraId="0000004E" w14:textId="77777777" w:rsidR="00C07C53" w:rsidRDefault="006D0B9F">
            <w:r>
              <w:rPr>
                <w:b/>
                <w:bCs/>
                <w:color w:val="1B3A5C"/>
                <w:sz w:val="20"/>
                <w:szCs w:val="20"/>
              </w:rPr>
              <w:t>TOTAL ESTIMATED STACK</w:t>
            </w:r>
          </w:p>
        </w:tc>
        <w:tc>
          <w:tcPr>
            <w:tcW w:w="5640" w:type="dxa"/>
            <w:tcBorders>
              <w:top w:val="single" w:sz="6" w:space="0" w:color="1B3A5C"/>
              <w:left w:val="nil"/>
              <w:bottom w:val="nil"/>
              <w:right w:val="nil"/>
            </w:tcBorders>
            <w:tcMar>
              <w:top w:w="100" w:type="dxa"/>
              <w:left w:w="0" w:type="dxa"/>
              <w:bottom w:w="100" w:type="dxa"/>
              <w:right w:w="0" w:type="dxa"/>
            </w:tcMar>
          </w:tcPr>
          <w:p w14:paraId="0000004F" w14:textId="77777777" w:rsidR="00C07C53" w:rsidRDefault="006D0B9F">
            <w:r>
              <w:rPr>
                <w:i/>
                <w:iCs/>
                <w:color w:val="6B7280"/>
                <w:sz w:val="20"/>
                <w:szCs w:val="20"/>
              </w:rPr>
              <w:t>Conservative range pending feasibility study, site confirmation, and partnership terms</w:t>
            </w:r>
          </w:p>
        </w:tc>
        <w:tc>
          <w:tcPr>
            <w:tcW w:w="1170" w:type="dxa"/>
            <w:tcBorders>
              <w:top w:val="single" w:sz="6" w:space="0" w:color="1B3A5C"/>
              <w:left w:val="nil"/>
              <w:bottom w:val="nil"/>
              <w:right w:val="nil"/>
            </w:tcBorders>
            <w:tcMar>
              <w:top w:w="100" w:type="dxa"/>
              <w:left w:w="0" w:type="dxa"/>
              <w:bottom w:w="100" w:type="dxa"/>
              <w:right w:w="0" w:type="dxa"/>
            </w:tcMar>
          </w:tcPr>
          <w:p w14:paraId="00000050" w14:textId="77777777" w:rsidR="00C07C53" w:rsidRDefault="006D0B9F">
            <w:pPr>
              <w:jc w:val="right"/>
            </w:pPr>
            <w:r>
              <w:rPr>
                <w:b/>
                <w:bCs/>
                <w:color w:val="2E7D6B"/>
                <w:sz w:val="20"/>
                <w:szCs w:val="20"/>
              </w:rPr>
              <w:t>$16M–$34M</w:t>
            </w:r>
          </w:p>
        </w:tc>
      </w:tr>
    </w:tbl>
    <w:p w14:paraId="00000051" w14:textId="77777777" w:rsidR="00C07C53" w:rsidRDefault="00C07C53">
      <w:pPr>
        <w:spacing w:before="80"/>
      </w:pPr>
    </w:p>
    <w:p w14:paraId="00000052" w14:textId="77777777" w:rsidR="00C07C53" w:rsidRDefault="006D0B9F">
      <w:pPr>
        <w:spacing w:after="160"/>
      </w:pPr>
      <w:r>
        <w:rPr>
          <w:color w:val="3D4A5C"/>
        </w:rPr>
        <w:t>The critical design principle of this stack is sequencing: philanthropic bridge capital and impact investment are secured first, reducing the city's pre-commitment risk. EIFD bonding captures value created by the project itself. General fund exposure, if any, comes last and is sized against what tenant revenues and grant receipts have already confirmed — not against projections alone.</w:t>
      </w:r>
    </w:p>
    <w:p w14:paraId="00000054" w14:textId="77777777" w:rsidR="00C07C53" w:rsidRDefault="006D0B9F">
      <w:pPr>
        <w:spacing w:before="360" w:after="60"/>
      </w:pPr>
      <w:r>
        <w:rPr>
          <w:b/>
          <w:bCs/>
          <w:color w:val="2E7D6B"/>
          <w:sz w:val="17"/>
          <w:szCs w:val="17"/>
        </w:rPr>
        <w:t>PART FOUR — WHAT WE ARE EXPLORING</w:t>
      </w:r>
    </w:p>
    <w:p w14:paraId="00000055" w14:textId="77777777" w:rsidR="00C07C53" w:rsidRDefault="006D0B9F" w:rsidP="003446EF">
      <w:pPr>
        <w:pStyle w:val="Heading1"/>
        <w:pBdr>
          <w:bottom w:val="single" w:sz="4" w:space="6" w:color="2E7D6B"/>
        </w:pBdr>
        <w:spacing w:before="240"/>
      </w:pPr>
      <w:r>
        <w:t>A Planning Decision, Not a Real Estate Transaction</w:t>
      </w:r>
    </w:p>
    <w:p w14:paraId="00000057" w14:textId="77777777" w:rsidR="00C07C53" w:rsidRDefault="006D0B9F">
      <w:pPr>
        <w:spacing w:after="160"/>
      </w:pPr>
      <w:r>
        <w:rPr>
          <w:color w:val="3D4A5C"/>
        </w:rPr>
        <w:t>Looking toward 2055, the question of civic infrastructure is inseparable from economic and climate resilience. Sebastopol has already experienced the atmospheric river events that test the limits of our current facilities, and the evidence suggests frequency and severity are increasing. A campus designed with microgrid capability, battery storage, and emergency staging capacity serves the community most when it is needed most. The SCCC's flood history is the clearest illustration: a facility that may be evacuated during the very events when community gathering space matters most is a fragile point in the civic system. Relocating programming to higher ground is a resilience investment, not merely a real estate preference.</w:t>
      </w:r>
    </w:p>
    <w:p w14:paraId="00000058" w14:textId="77777777" w:rsidR="00C07C53" w:rsidRDefault="006D0B9F">
      <w:pPr>
        <w:spacing w:after="160"/>
      </w:pPr>
      <w:r>
        <w:rPr>
          <w:color w:val="3D4A5C"/>
        </w:rPr>
        <w:lastRenderedPageBreak/>
        <w:t>Not acting is also a decision, and it carries costs. The library continues to underserve. The senior center continues to pay offsite rent. City Hall continues to absorb maintenance dollars. The SCCC continues to flood, with each event adding to the cumulative claim history that shapes its insurance future. The window for thoughtful action is open now. Feasibility studies take twelve to eighteen months. Grant cycles have deadlines. Partnership structures require lead time. A decision in 2025 to invest in planning creates options in 2027. Deferral does not preserve those options — it narrows them.</w:t>
      </w:r>
    </w:p>
    <w:p w14:paraId="00000059" w14:textId="77777777" w:rsidR="00C07C53" w:rsidRDefault="00C07C53">
      <w:pPr>
        <w:spacing w:before="80"/>
      </w:pPr>
    </w:p>
    <w:tbl>
      <w:tblPr>
        <w:tblStyle w:val="a2"/>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C07C53" w14:paraId="65884611" w14:textId="77777777">
        <w:tc>
          <w:tcPr>
            <w:tcW w:w="9360" w:type="dxa"/>
            <w:tcBorders>
              <w:top w:val="single" w:sz="6" w:space="0" w:color="9B6E1A"/>
              <w:left w:val="nil"/>
              <w:bottom w:val="nil"/>
              <w:right w:val="nil"/>
            </w:tcBorders>
            <w:tcMar>
              <w:top w:w="0" w:type="dxa"/>
              <w:left w:w="0" w:type="dxa"/>
              <w:bottom w:w="0" w:type="dxa"/>
              <w:right w:w="0" w:type="dxa"/>
            </w:tcMar>
          </w:tcPr>
          <w:p w14:paraId="0000005A" w14:textId="77777777" w:rsidR="00C07C53" w:rsidRDefault="00C07C53"/>
        </w:tc>
      </w:tr>
    </w:tbl>
    <w:p w14:paraId="0000005C" w14:textId="77777777" w:rsidR="00C07C53" w:rsidRDefault="006D0B9F">
      <w:pPr>
        <w:spacing w:after="100"/>
      </w:pPr>
      <w:r>
        <w:rPr>
          <w:rFonts w:ascii="Georgia" w:eastAsia="Georgia" w:hAnsi="Georgia" w:cs="Georgia"/>
          <w:b/>
          <w:bCs/>
          <w:color w:val="1B3A5C"/>
          <w:sz w:val="24"/>
          <w:szCs w:val="24"/>
        </w:rPr>
        <w:t>The case in plain terms.</w:t>
      </w:r>
    </w:p>
    <w:p w14:paraId="0000005D" w14:textId="77777777" w:rsidR="00C07C53" w:rsidRDefault="006D0B9F">
      <w:pPr>
        <w:spacing w:after="160"/>
      </w:pPr>
      <w:r>
        <w:rPr>
          <w:color w:val="3D4A5C"/>
        </w:rPr>
        <w:t>Our civic buildings are not failing. They are aging, undersized, fragmented, and — in the case of the Community Cultural Center — located somewhere they should not be. We are not in a crisis. We are in the planning window before a crisis becomes the decision-maker for us.</w:t>
      </w:r>
    </w:p>
    <w:p w14:paraId="0000005E" w14:textId="77777777" w:rsidR="00C07C53" w:rsidRDefault="006D0B9F">
      <w:pPr>
        <w:spacing w:after="160"/>
      </w:pPr>
      <w:r>
        <w:rPr>
          <w:color w:val="3D4A5C"/>
        </w:rPr>
        <w:t>Other communities of comparable size and means have done this — not through reckless borrowing, but through structured partnerships that lead with private and philanthropic capital, use dedicated tax-increment tools to protect the General Fund, and align private commercial interest with public civic purpose. A Sebastopol project that addresses four facilities simultaneously, qualifies for six or more funding streams, produces a net-zero campus, and relocates a flood-vulnerable civic anchor is not an overreach. It is exactly the kind of multi-benefit project those funding streams are designed to support.</w:t>
      </w:r>
    </w:p>
    <w:p w14:paraId="0000005F" w14:textId="77777777" w:rsidR="00C07C53" w:rsidRDefault="006D0B9F">
      <w:pPr>
        <w:spacing w:after="160"/>
      </w:pPr>
      <w:r>
        <w:rPr>
          <w:color w:val="3D4A5C"/>
        </w:rPr>
        <w:t xml:space="preserve">What is </w:t>
      </w:r>
      <w:proofErr w:type="gramStart"/>
      <w:r>
        <w:rPr>
          <w:color w:val="3D4A5C"/>
        </w:rPr>
        <w:t>being recommended</w:t>
      </w:r>
      <w:proofErr w:type="gramEnd"/>
      <w:r>
        <w:rPr>
          <w:color w:val="3D4A5C"/>
        </w:rPr>
        <w:t xml:space="preserve"> is not a building. It is a process: commission rigorous feasibility work, engage a public finance advisor on the EIFD question, begin a preliminary donor conversation, and give this committee the analysis it needs to </w:t>
      </w:r>
      <w:proofErr w:type="gramStart"/>
      <w:r>
        <w:rPr>
          <w:color w:val="3D4A5C"/>
        </w:rPr>
        <w:t>make a decision</w:t>
      </w:r>
      <w:proofErr w:type="gramEnd"/>
      <w:r>
        <w:rPr>
          <w:color w:val="3D4A5C"/>
        </w:rPr>
        <w:t xml:space="preserve"> that Sebastopol residents will still consider wise in 2055.</w:t>
      </w:r>
    </w:p>
    <w:sectPr w:rsidR="00C07C53">
      <w:headerReference w:type="even" r:id="rId7"/>
      <w:headerReference w:type="default" r:id="rId8"/>
      <w:footerReference w:type="even" r:id="rId9"/>
      <w:footerReference w:type="default" r:id="rId10"/>
      <w:headerReference w:type="first" r:id="rId11"/>
      <w:footerReference w:type="first" r:id="rId12"/>
      <w:pgSz w:w="12240" w:h="15840"/>
      <w:pgMar w:top="1080" w:right="1260" w:bottom="1080" w:left="126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A9979A" w14:textId="77777777" w:rsidR="004E76CE" w:rsidRDefault="004E76CE">
      <w:r>
        <w:separator/>
      </w:r>
    </w:p>
  </w:endnote>
  <w:endnote w:type="continuationSeparator" w:id="0">
    <w:p w14:paraId="7050A0F7" w14:textId="77777777" w:rsidR="004E76CE" w:rsidRDefault="004E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Bold r:id="rId1" w:fontKey="{429046A9-1024-4302-845D-C89027BBF17E}"/>
    <w:embedItalic r:id="rId2" w:fontKey="{40714924-73CE-4501-9F71-5C9601A85896}"/>
    <w:embedBoldItalic r:id="rId3" w:fontKey="{65BB6E2D-FF89-4C8D-85A3-67609A00B09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E593BE2C-AD21-421E-97D8-E126B3AA756B}"/>
  </w:font>
  <w:font w:name="Cambria">
    <w:panose1 w:val="02040503050406030204"/>
    <w:charset w:val="00"/>
    <w:family w:val="roman"/>
    <w:pitch w:val="variable"/>
    <w:sig w:usb0="E00006FF" w:usb1="420024FF" w:usb2="02000000" w:usb3="00000000" w:csb0="0000019F" w:csb1="00000000"/>
    <w:embedRegular r:id="rId5" w:fontKey="{0876A442-0A5E-4E73-A8EF-1E6E3ADA0B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65F56" w14:textId="77777777" w:rsidR="00E54446" w:rsidRDefault="00E544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E09A1" w14:textId="7152303D" w:rsidR="003446EF" w:rsidRPr="003446EF" w:rsidRDefault="003446EF">
    <w:pPr>
      <w:pBdr>
        <w:top w:val="single" w:sz="4" w:space="4" w:color="2E7D6B"/>
      </w:pBdr>
      <w:tabs>
        <w:tab w:val="right" w:pos="9360"/>
      </w:tabs>
      <w:spacing w:before="100"/>
    </w:pPr>
    <w:r w:rsidRPr="003446EF">
      <w:rPr>
        <w:color w:val="6B7280"/>
        <w:sz w:val="16"/>
        <w:szCs w:val="16"/>
      </w:rPr>
      <w:t xml:space="preserve">City of Sebastopol  |  </w:t>
    </w:r>
    <w:hyperlink r:id="rId1">
      <w:r w:rsidRPr="003446EF">
        <w:rPr>
          <w:color w:val="1155CC"/>
          <w:sz w:val="16"/>
          <w:szCs w:val="16"/>
          <w:u w:val="single"/>
        </w:rPr>
        <w:t>www.city</w:t>
      </w:r>
    </w:hyperlink>
    <w:hyperlink r:id="rId2">
      <w:r w:rsidRPr="003446EF">
        <w:rPr>
          <w:color w:val="1155CC"/>
          <w:sz w:val="16"/>
          <w:szCs w:val="16"/>
          <w:u w:val="single"/>
        </w:rPr>
        <w:t>of</w:t>
      </w:r>
    </w:hyperlink>
    <w:hyperlink r:id="rId3">
      <w:r w:rsidRPr="003446EF">
        <w:rPr>
          <w:color w:val="1155CC"/>
          <w:sz w:val="16"/>
          <w:szCs w:val="16"/>
          <w:u w:val="single"/>
        </w:rPr>
        <w:t>sebastopol.</w:t>
      </w:r>
    </w:hyperlink>
    <w:hyperlink r:id="rId4">
      <w:r w:rsidRPr="003446EF">
        <w:rPr>
          <w:color w:val="1155CC"/>
          <w:sz w:val="16"/>
          <w:szCs w:val="16"/>
          <w:u w:val="single"/>
        </w:rPr>
        <w:t>gov</w:t>
      </w:r>
    </w:hyperlink>
    <w:r w:rsidRPr="003446EF">
      <w:rPr>
        <w:color w:val="6B7280"/>
        <w:sz w:val="16"/>
        <w:szCs w:val="16"/>
      </w:rPr>
      <w:ptab w:relativeTo="margin" w:alignment="center" w:leader="none"/>
    </w:r>
    <w:r w:rsidRPr="003446EF">
      <w:rPr>
        <w:color w:val="6B7280"/>
        <w:sz w:val="16"/>
        <w:szCs w:val="16"/>
      </w:rPr>
      <w:ptab w:relativeTo="margin" w:alignment="right" w:leader="none"/>
    </w:r>
    <w:r w:rsidRPr="003446EF">
      <w:rPr>
        <w:color w:val="6B7280"/>
        <w:sz w:val="16"/>
        <w:szCs w:val="16"/>
      </w:rPr>
      <w:t xml:space="preserve">Page </w:t>
    </w:r>
    <w:r w:rsidRPr="003446EF">
      <w:rPr>
        <w:color w:val="6B7280"/>
        <w:sz w:val="16"/>
        <w:szCs w:val="16"/>
      </w:rPr>
      <w:fldChar w:fldCharType="begin"/>
    </w:r>
    <w:r w:rsidRPr="003446EF">
      <w:rPr>
        <w:color w:val="6B7280"/>
        <w:sz w:val="16"/>
        <w:szCs w:val="16"/>
      </w:rPr>
      <w:instrText xml:space="preserve"> PAGE  \* Arabic  \* MERGEFORMAT </w:instrText>
    </w:r>
    <w:r w:rsidRPr="003446EF">
      <w:rPr>
        <w:color w:val="6B7280"/>
        <w:sz w:val="16"/>
        <w:szCs w:val="16"/>
      </w:rPr>
      <w:fldChar w:fldCharType="separate"/>
    </w:r>
    <w:r w:rsidRPr="003446EF">
      <w:rPr>
        <w:noProof/>
        <w:color w:val="6B7280"/>
        <w:sz w:val="16"/>
        <w:szCs w:val="16"/>
      </w:rPr>
      <w:t>1</w:t>
    </w:r>
    <w:r w:rsidRPr="003446EF">
      <w:rPr>
        <w:color w:val="6B7280"/>
        <w:sz w:val="16"/>
        <w:szCs w:val="16"/>
      </w:rPr>
      <w:fldChar w:fldCharType="end"/>
    </w:r>
    <w:r w:rsidRPr="003446EF">
      <w:rPr>
        <w:color w:val="6B7280"/>
        <w:sz w:val="16"/>
        <w:szCs w:val="16"/>
      </w:rPr>
      <w:t xml:space="preserve"> of </w:t>
    </w:r>
    <w:r w:rsidRPr="003446EF">
      <w:rPr>
        <w:color w:val="6B7280"/>
        <w:sz w:val="16"/>
        <w:szCs w:val="16"/>
      </w:rPr>
      <w:fldChar w:fldCharType="begin"/>
    </w:r>
    <w:r w:rsidRPr="003446EF">
      <w:rPr>
        <w:color w:val="6B7280"/>
        <w:sz w:val="16"/>
        <w:szCs w:val="16"/>
      </w:rPr>
      <w:instrText xml:space="preserve"> NUMPAGES  \* Arabic  \* MERGEFORMAT </w:instrText>
    </w:r>
    <w:r w:rsidRPr="003446EF">
      <w:rPr>
        <w:color w:val="6B7280"/>
        <w:sz w:val="16"/>
        <w:szCs w:val="16"/>
      </w:rPr>
      <w:fldChar w:fldCharType="separate"/>
    </w:r>
    <w:r w:rsidRPr="003446EF">
      <w:rPr>
        <w:noProof/>
        <w:color w:val="6B7280"/>
        <w:sz w:val="16"/>
        <w:szCs w:val="16"/>
      </w:rPr>
      <w:t>2</w:t>
    </w:r>
    <w:r w:rsidRPr="003446EF">
      <w:rPr>
        <w:color w:val="6B728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FD968" w14:textId="77777777" w:rsidR="00E54446" w:rsidRDefault="00E544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D653E8" w14:textId="77777777" w:rsidR="004E76CE" w:rsidRDefault="004E76CE">
      <w:r>
        <w:separator/>
      </w:r>
    </w:p>
  </w:footnote>
  <w:footnote w:type="continuationSeparator" w:id="0">
    <w:p w14:paraId="1EDCD2F2" w14:textId="77777777" w:rsidR="004E76CE" w:rsidRDefault="004E76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C88A9" w14:textId="77777777" w:rsidR="00E54446" w:rsidRDefault="00E544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0" w14:textId="0CB95C2E" w:rsidR="00C07C53" w:rsidRDefault="006D0B9F">
    <w:pPr>
      <w:pBdr>
        <w:bottom w:val="single" w:sz="4" w:space="4" w:color="2E7D6B"/>
      </w:pBdr>
      <w:tabs>
        <w:tab w:val="right" w:pos="9360"/>
      </w:tabs>
      <w:spacing w:after="100"/>
    </w:pPr>
    <w:r>
      <w:rPr>
        <w:b/>
        <w:bCs/>
        <w:color w:val="1B3A5C"/>
        <w:sz w:val="17"/>
        <w:szCs w:val="17"/>
      </w:rPr>
      <w:t>Creating the Commons</w:t>
    </w:r>
    <w:r w:rsidR="003446EF">
      <w:rPr>
        <w:b/>
        <w:bCs/>
        <w:color w:val="1B3A5C"/>
        <w:sz w:val="17"/>
        <w:szCs w:val="17"/>
      </w:rPr>
      <w:t xml:space="preserve"> </w:t>
    </w:r>
    <w:r>
      <w:rPr>
        <w:color w:val="6B7280"/>
        <w:sz w:val="17"/>
        <w:szCs w:val="17"/>
      </w:rPr>
      <w:t>Finance Subcommittee — City of Sebastopol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4DE67" w14:textId="77777777" w:rsidR="00E54446" w:rsidRDefault="00E5444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7C53"/>
    <w:rsid w:val="00144AC0"/>
    <w:rsid w:val="003446EF"/>
    <w:rsid w:val="004E76CE"/>
    <w:rsid w:val="006D0B9F"/>
    <w:rsid w:val="0096252D"/>
    <w:rsid w:val="00C07C53"/>
    <w:rsid w:val="00E54446"/>
    <w:rsid w:val="00FA05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CC17CA"/>
  <w15:docId w15:val="{07954E96-A45D-4861-B005-E328475A6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1"/>
        <w:szCs w:val="21"/>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440" w:after="140"/>
      <w:outlineLvl w:val="0"/>
    </w:pPr>
    <w:rPr>
      <w:rFonts w:ascii="Georgia" w:eastAsia="Georgia" w:hAnsi="Georgia" w:cs="Georgia"/>
      <w:b/>
      <w:bCs/>
      <w:color w:val="1B3A5C"/>
      <w:sz w:val="30"/>
      <w:szCs w:val="30"/>
    </w:rPr>
  </w:style>
  <w:style w:type="paragraph" w:styleId="Heading2">
    <w:name w:val="heading 2"/>
    <w:basedOn w:val="Normal"/>
    <w:next w:val="Normal"/>
    <w:uiPriority w:val="9"/>
    <w:unhideWhenUsed/>
    <w:qFormat/>
    <w:pPr>
      <w:pBdr>
        <w:top w:val="nil"/>
        <w:left w:val="nil"/>
        <w:bottom w:val="nil"/>
        <w:right w:val="nil"/>
        <w:between w:val="nil"/>
      </w:pBdr>
      <w:spacing w:before="300" w:after="100"/>
      <w:outlineLvl w:val="1"/>
    </w:pPr>
    <w:rPr>
      <w:b/>
      <w:bCs/>
      <w:color w:val="1B3A5C"/>
      <w:sz w:val="24"/>
      <w:szCs w:val="24"/>
    </w:rPr>
  </w:style>
  <w:style w:type="paragraph" w:styleId="Heading3">
    <w:name w:val="heading 3"/>
    <w:basedOn w:val="Normal"/>
    <w:next w:val="Normal"/>
    <w:uiPriority w:val="9"/>
    <w:semiHidden/>
    <w:unhideWhenUsed/>
    <w:qFormat/>
    <w:pPr>
      <w:pBdr>
        <w:top w:val="nil"/>
        <w:left w:val="nil"/>
        <w:bottom w:val="nil"/>
        <w:right w:val="nil"/>
        <w:between w:val="nil"/>
      </w:pBdr>
      <w:outlineLvl w:val="2"/>
    </w:pPr>
    <w:rPr>
      <w:color w:val="1F4D78"/>
      <w:sz w:val="24"/>
      <w:szCs w:val="24"/>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color w:val="000000"/>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3446EF"/>
    <w:pPr>
      <w:tabs>
        <w:tab w:val="center" w:pos="4680"/>
        <w:tab w:val="right" w:pos="9360"/>
      </w:tabs>
    </w:pPr>
  </w:style>
  <w:style w:type="character" w:customStyle="1" w:styleId="HeaderChar">
    <w:name w:val="Header Char"/>
    <w:basedOn w:val="DefaultParagraphFont"/>
    <w:link w:val="Header"/>
    <w:uiPriority w:val="99"/>
    <w:rsid w:val="003446EF"/>
  </w:style>
  <w:style w:type="paragraph" w:styleId="Footer">
    <w:name w:val="footer"/>
    <w:basedOn w:val="Normal"/>
    <w:link w:val="FooterChar"/>
    <w:uiPriority w:val="99"/>
    <w:unhideWhenUsed/>
    <w:rsid w:val="003446EF"/>
    <w:pPr>
      <w:tabs>
        <w:tab w:val="center" w:pos="4680"/>
        <w:tab w:val="right" w:pos="9360"/>
      </w:tabs>
    </w:pPr>
  </w:style>
  <w:style w:type="character" w:customStyle="1" w:styleId="FooterChar">
    <w:name w:val="Footer Char"/>
    <w:basedOn w:val="DefaultParagraphFont"/>
    <w:link w:val="Footer"/>
    <w:uiPriority w:val="99"/>
    <w:rsid w:val="003446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3" Type="http://schemas.openxmlformats.org/officeDocument/2006/relationships/hyperlink" Target="http://www.cityofsebastopol.gov" TargetMode="External"/><Relationship Id="rId2" Type="http://schemas.openxmlformats.org/officeDocument/2006/relationships/hyperlink" Target="http://www.cityofsebastopol.gov" TargetMode="External"/><Relationship Id="rId1" Type="http://schemas.openxmlformats.org/officeDocument/2006/relationships/hyperlink" Target="http://www.cityofsebastopol.gov" TargetMode="External"/><Relationship Id="rId4" Type="http://schemas.openxmlformats.org/officeDocument/2006/relationships/hyperlink" Target="http://www.cityofsebastopol.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KyhIkiHx5aM3q6f7xAubMsCMUQ==">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2923</Words>
  <Characters>16667</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Elissa Overton</cp:lastModifiedBy>
  <cp:revision>2</cp:revision>
  <cp:lastPrinted>2026-04-13T14:43:00Z</cp:lastPrinted>
  <dcterms:created xsi:type="dcterms:W3CDTF">2026-04-15T16:37:00Z</dcterms:created>
  <dcterms:modified xsi:type="dcterms:W3CDTF">2026-04-15T16:37:00Z</dcterms:modified>
</cp:coreProperties>
</file>