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96FF9" w:rsidRPr="00DD0C8F" w:rsidRDefault="0001183F" w:rsidP="00DD0C8F">
      <w:pPr>
        <w:spacing w:after="120"/>
        <w:rPr>
          <w:b/>
          <w:bCs/>
          <w:sz w:val="24"/>
          <w:szCs w:val="24"/>
        </w:rPr>
      </w:pPr>
      <w:r w:rsidRPr="00DD0C8F">
        <w:rPr>
          <w:b/>
          <w:bCs/>
          <w:sz w:val="24"/>
          <w:szCs w:val="24"/>
        </w:rPr>
        <w:t>Civic Commons or Co-Location Case Studies</w:t>
      </w:r>
    </w:p>
    <w:p w14:paraId="00000002" w14:textId="77777777" w:rsidR="00796FF9" w:rsidRDefault="0001183F">
      <w:pPr>
        <w:rPr>
          <w:b/>
          <w:bCs/>
          <w:sz w:val="21"/>
          <w:szCs w:val="21"/>
        </w:rPr>
      </w:pPr>
      <w:r>
        <w:rPr>
          <w:b/>
          <w:bCs/>
          <w:sz w:val="21"/>
          <w:szCs w:val="21"/>
        </w:rPr>
        <w:t>1. Santa Cruz: Downtown Library &amp; Affordable Housing Project</w:t>
      </w:r>
    </w:p>
    <w:p w14:paraId="00000003" w14:textId="61FB687A" w:rsidR="00796FF9" w:rsidRDefault="0001183F">
      <w:pPr>
        <w:numPr>
          <w:ilvl w:val="0"/>
          <w:numId w:val="4"/>
        </w:numPr>
      </w:pPr>
      <w:r>
        <w:rPr>
          <w:b/>
          <w:bCs/>
          <w:sz w:val="21"/>
          <w:szCs w:val="21"/>
        </w:rPr>
        <w:t>The Concept:</w:t>
      </w:r>
      <w:r>
        <w:rPr>
          <w:sz w:val="21"/>
          <w:szCs w:val="21"/>
        </w:rPr>
        <w:t xml:space="preserve"> Santa Cruz is replacing a city-owned surface parking lot with a massive mixed-use hub. The project features a modern public library, a childcare facility, 124 units of 100% affordable housing, and consolidated parking with EV charging. It also includes a permanent civic plaza to serve as the new home for the weekly Downtown Farmers' Market.</w:t>
      </w:r>
    </w:p>
    <w:p w14:paraId="00000004" w14:textId="77777777" w:rsidR="00796FF9" w:rsidRDefault="0001183F">
      <w:pPr>
        <w:numPr>
          <w:ilvl w:val="0"/>
          <w:numId w:val="4"/>
        </w:numPr>
        <w:spacing w:after="180"/>
      </w:pPr>
      <w:r>
        <w:rPr>
          <w:b/>
          <w:bCs/>
          <w:sz w:val="21"/>
          <w:szCs w:val="21"/>
        </w:rPr>
        <w:t>How it was Financed:</w:t>
      </w:r>
      <w:r>
        <w:rPr>
          <w:sz w:val="21"/>
          <w:szCs w:val="21"/>
        </w:rPr>
        <w:t xml:space="preserve"> The city used a "capital stack" approach. The library portion is funded by a local voter-approved measure (Measure S). The housing and broader facility secured a $33.5 million Affordable Housing Sustainable Communities Award, a $55.1 million state Tax Credit Award, and a $55.6 million Bond Award. The Farmers' Market plaza is utilizing a $250,000 allocation from an Economic Development Trust Fund and a state Infill and Infrastructure Grant.</w:t>
      </w:r>
    </w:p>
    <w:p w14:paraId="00000005" w14:textId="77777777" w:rsidR="00796FF9" w:rsidRDefault="0001183F">
      <w:pPr>
        <w:rPr>
          <w:b/>
          <w:bCs/>
          <w:sz w:val="21"/>
          <w:szCs w:val="21"/>
        </w:rPr>
      </w:pPr>
      <w:r>
        <w:rPr>
          <w:b/>
          <w:bCs/>
          <w:sz w:val="21"/>
          <w:szCs w:val="21"/>
        </w:rPr>
        <w:t>2. San Francisco: Mission Creek Senior Community</w:t>
      </w:r>
    </w:p>
    <w:p w14:paraId="00000006" w14:textId="77777777" w:rsidR="00796FF9" w:rsidRDefault="0001183F">
      <w:pPr>
        <w:numPr>
          <w:ilvl w:val="0"/>
          <w:numId w:val="6"/>
        </w:numPr>
      </w:pPr>
      <w:r>
        <w:rPr>
          <w:b/>
          <w:bCs/>
          <w:sz w:val="21"/>
          <w:szCs w:val="21"/>
        </w:rPr>
        <w:t>The Concept:</w:t>
      </w:r>
      <w:r>
        <w:rPr>
          <w:sz w:val="21"/>
          <w:szCs w:val="21"/>
        </w:rPr>
        <w:t xml:space="preserve"> Built on a remediated industrial "brownfield" site, this project combines a 7,500-square-foot branch library, a community meeting hall, an adult day health center for 50 daily clients, and 140 affordable senior apartments (including units for frail and formerly homeless seniors). The ground floor also features a café and dry cleaner.</w:t>
      </w:r>
    </w:p>
    <w:p w14:paraId="00000007" w14:textId="77777777" w:rsidR="00796FF9" w:rsidRDefault="0001183F">
      <w:pPr>
        <w:numPr>
          <w:ilvl w:val="0"/>
          <w:numId w:val="6"/>
        </w:numPr>
        <w:spacing w:after="180"/>
      </w:pPr>
      <w:r>
        <w:rPr>
          <w:b/>
          <w:bCs/>
          <w:sz w:val="21"/>
          <w:szCs w:val="21"/>
        </w:rPr>
        <w:t>How it was Financed:</w:t>
      </w:r>
      <w:r>
        <w:rPr>
          <w:sz w:val="21"/>
          <w:szCs w:val="21"/>
        </w:rPr>
        <w:t xml:space="preserve"> The land was donated to the San Francisco Redevelopment Agency by a master developer to satisfy affordable housing requirements. The housing is subsidized through U.S. Department of Housing and Urban Development (HUD) Section 8 funds and the San Francisco Department of Public Health. The overall $43.8 million project cost was also supported by taxable bonds.</w:t>
      </w:r>
    </w:p>
    <w:p w14:paraId="00000008" w14:textId="77777777" w:rsidR="00796FF9" w:rsidRDefault="0001183F">
      <w:pPr>
        <w:rPr>
          <w:b/>
          <w:bCs/>
          <w:sz w:val="21"/>
          <w:szCs w:val="21"/>
        </w:rPr>
      </w:pPr>
      <w:r>
        <w:rPr>
          <w:b/>
          <w:bCs/>
          <w:sz w:val="21"/>
          <w:szCs w:val="21"/>
        </w:rPr>
        <w:t>National Case Studies</w:t>
      </w:r>
    </w:p>
    <w:p w14:paraId="00000009" w14:textId="77777777" w:rsidR="00796FF9" w:rsidRDefault="0001183F">
      <w:pPr>
        <w:rPr>
          <w:b/>
          <w:bCs/>
          <w:sz w:val="21"/>
          <w:szCs w:val="21"/>
        </w:rPr>
      </w:pPr>
      <w:r>
        <w:rPr>
          <w:b/>
          <w:bCs/>
          <w:sz w:val="21"/>
          <w:szCs w:val="21"/>
        </w:rPr>
        <w:t>3. Cornelius, Oregon: Cornelius Place</w:t>
      </w:r>
    </w:p>
    <w:p w14:paraId="0000000A" w14:textId="77777777" w:rsidR="00796FF9" w:rsidRDefault="0001183F">
      <w:pPr>
        <w:numPr>
          <w:ilvl w:val="0"/>
          <w:numId w:val="5"/>
        </w:numPr>
      </w:pPr>
      <w:r>
        <w:rPr>
          <w:b/>
          <w:bCs/>
          <w:sz w:val="21"/>
          <w:szCs w:val="21"/>
        </w:rPr>
        <w:t>The Concept:</w:t>
      </w:r>
      <w:r>
        <w:rPr>
          <w:sz w:val="21"/>
          <w:szCs w:val="21"/>
        </w:rPr>
        <w:t xml:space="preserve"> This three-story building in a town of 12,400 residents combined a new 13,650-square-foot public library with a 2,900-square-foot YMCA recreation and fitness center, a café, and a courtyard designed for concerts and a farmers' market. Above the library sits 45 affordable apartments for seniors.</w:t>
      </w:r>
    </w:p>
    <w:p w14:paraId="0000000B" w14:textId="77777777" w:rsidR="00796FF9" w:rsidRDefault="0001183F">
      <w:pPr>
        <w:numPr>
          <w:ilvl w:val="0"/>
          <w:numId w:val="5"/>
        </w:numPr>
        <w:spacing w:after="180"/>
      </w:pPr>
      <w:r>
        <w:rPr>
          <w:b/>
          <w:bCs/>
          <w:sz w:val="21"/>
          <w:szCs w:val="21"/>
        </w:rPr>
        <w:t>How it was Financed:</w:t>
      </w:r>
      <w:r>
        <w:rPr>
          <w:sz w:val="21"/>
          <w:szCs w:val="21"/>
        </w:rPr>
        <w:t xml:space="preserve"> Planners explicitly noted that they "could not have built the library on its own," but combining it with affordable housing made both possible through shared construction costs. The library's $5.8 million share was cobbled together from local businesses, individuals, and county, state, and federal funds, including a $500,000 grant from the National Endowment for the Humanities. The city owns the land, a nonprofit developer owns the building, and the library pays a nominal leasing fee.</w:t>
      </w:r>
    </w:p>
    <w:p w14:paraId="0000000C" w14:textId="77777777" w:rsidR="00796FF9" w:rsidRDefault="0001183F">
      <w:pPr>
        <w:rPr>
          <w:b/>
          <w:bCs/>
          <w:sz w:val="21"/>
          <w:szCs w:val="21"/>
        </w:rPr>
      </w:pPr>
      <w:r>
        <w:rPr>
          <w:b/>
          <w:bCs/>
          <w:sz w:val="21"/>
          <w:szCs w:val="21"/>
        </w:rPr>
        <w:t>4. New York City, New York: The "Air Rights" and Asset Sale Models</w:t>
      </w:r>
    </w:p>
    <w:p w14:paraId="0000000D" w14:textId="77777777" w:rsidR="00796FF9" w:rsidRDefault="0001183F">
      <w:pPr>
        <w:numPr>
          <w:ilvl w:val="0"/>
          <w:numId w:val="7"/>
        </w:numPr>
      </w:pPr>
      <w:r>
        <w:rPr>
          <w:b/>
          <w:bCs/>
          <w:sz w:val="21"/>
          <w:szCs w:val="21"/>
        </w:rPr>
        <w:t>Brooklyn Heights (One Clinton):</w:t>
      </w:r>
      <w:r>
        <w:rPr>
          <w:sz w:val="21"/>
          <w:szCs w:val="21"/>
        </w:rPr>
        <w:t xml:space="preserve"> The Brooklyn Public Library avoided $9 million in renovation costs for an aging branch by selling the site to a private developer for $52 million. The developer built a 38-story tower with 133 luxury market-rate condominiums, a STEM learning center, retail space, and a new library at its base. The sale proceeds funded the new library's $12 million fit-out and generated $10 million for another library project.</w:t>
      </w:r>
    </w:p>
    <w:p w14:paraId="0000000E" w14:textId="77777777" w:rsidR="00796FF9" w:rsidRDefault="0001183F">
      <w:pPr>
        <w:numPr>
          <w:ilvl w:val="0"/>
          <w:numId w:val="7"/>
        </w:numPr>
      </w:pPr>
      <w:r>
        <w:rPr>
          <w:b/>
          <w:bCs/>
          <w:sz w:val="21"/>
          <w:szCs w:val="21"/>
        </w:rPr>
        <w:t>Sunset Park (Brooklyn):</w:t>
      </w:r>
      <w:r>
        <w:rPr>
          <w:sz w:val="21"/>
          <w:szCs w:val="21"/>
        </w:rPr>
        <w:t xml:space="preserve"> The library partnered with a nonprofit developer to double the size of its library to 21,000 square feet while building 49 permanently affordable apartments above it. Financing included over $10 million in state and federal housing tax credits and $8.75 million from the NYC Department of Housing Preservation and Development.</w:t>
      </w:r>
    </w:p>
    <w:p w14:paraId="0000000F" w14:textId="77777777" w:rsidR="00796FF9" w:rsidRDefault="0001183F">
      <w:pPr>
        <w:numPr>
          <w:ilvl w:val="0"/>
          <w:numId w:val="7"/>
        </w:numPr>
        <w:spacing w:after="180"/>
      </w:pPr>
      <w:r>
        <w:rPr>
          <w:b/>
          <w:bCs/>
          <w:sz w:val="21"/>
          <w:szCs w:val="21"/>
        </w:rPr>
        <w:lastRenderedPageBreak/>
        <w:t>The Eliza (Inwood):</w:t>
      </w:r>
      <w:r>
        <w:rPr>
          <w:sz w:val="21"/>
          <w:szCs w:val="21"/>
        </w:rPr>
        <w:t xml:space="preserve"> This 14-story mixed-use building includes a library, 175 deeply affordable apartments, universal pre-K classrooms, a children's playroom, and a social services center. The project was made possible by rezoning the site to allow for increased height and density, leveraging the "unused development rights" (or air rights) of the library property.</w:t>
      </w:r>
    </w:p>
    <w:p w14:paraId="00000010" w14:textId="77777777" w:rsidR="00796FF9" w:rsidRDefault="0001183F">
      <w:pPr>
        <w:rPr>
          <w:b/>
          <w:bCs/>
          <w:sz w:val="21"/>
          <w:szCs w:val="21"/>
        </w:rPr>
      </w:pPr>
      <w:r>
        <w:rPr>
          <w:b/>
          <w:bCs/>
          <w:sz w:val="21"/>
          <w:szCs w:val="21"/>
        </w:rPr>
        <w:t>5. Chicago, Illinois: Public Housing &amp; Library Integration</w:t>
      </w:r>
    </w:p>
    <w:p w14:paraId="00000011" w14:textId="77777777" w:rsidR="00796FF9" w:rsidRDefault="0001183F">
      <w:pPr>
        <w:numPr>
          <w:ilvl w:val="0"/>
          <w:numId w:val="3"/>
        </w:numPr>
      </w:pPr>
      <w:r>
        <w:rPr>
          <w:b/>
          <w:bCs/>
          <w:sz w:val="21"/>
          <w:szCs w:val="21"/>
        </w:rPr>
        <w:t>The Concept:</w:t>
      </w:r>
      <w:r>
        <w:rPr>
          <w:sz w:val="21"/>
          <w:szCs w:val="21"/>
        </w:rPr>
        <w:t xml:space="preserve"> Chicago co-located three modern libraries with affordable and public housing. These libraries go beyond books to offer music studios, makers' workshops, virtual reality, 3D printing, and dedicated workforce development support.</w:t>
      </w:r>
    </w:p>
    <w:p w14:paraId="00000012" w14:textId="77777777" w:rsidR="00796FF9" w:rsidRDefault="0001183F">
      <w:pPr>
        <w:numPr>
          <w:ilvl w:val="0"/>
          <w:numId w:val="3"/>
        </w:numPr>
        <w:spacing w:after="180"/>
      </w:pPr>
      <w:r>
        <w:rPr>
          <w:b/>
          <w:bCs/>
          <w:sz w:val="21"/>
          <w:szCs w:val="21"/>
        </w:rPr>
        <w:t>How it was Financed:</w:t>
      </w:r>
      <w:r>
        <w:rPr>
          <w:sz w:val="21"/>
          <w:szCs w:val="21"/>
        </w:rPr>
        <w:t xml:space="preserve"> By adding the housing component, the city qualified for federal tax credits and HUD housing funds, which provided almost half the </w:t>
      </w:r>
      <w:proofErr w:type="gramStart"/>
      <w:r>
        <w:rPr>
          <w:sz w:val="21"/>
          <w:szCs w:val="21"/>
        </w:rPr>
        <w:t>needed construction funds</w:t>
      </w:r>
      <w:proofErr w:type="gramEnd"/>
      <w:r>
        <w:rPr>
          <w:sz w:val="21"/>
          <w:szCs w:val="21"/>
        </w:rPr>
        <w:t>. Revenue from tax-increment financing (TIF) districts was also utilized.</w:t>
      </w:r>
    </w:p>
    <w:p w14:paraId="00000013" w14:textId="77777777" w:rsidR="00796FF9" w:rsidRDefault="0001183F">
      <w:pPr>
        <w:rPr>
          <w:b/>
          <w:bCs/>
          <w:sz w:val="21"/>
          <w:szCs w:val="21"/>
        </w:rPr>
      </w:pPr>
      <w:r>
        <w:rPr>
          <w:b/>
          <w:bCs/>
          <w:sz w:val="21"/>
          <w:szCs w:val="21"/>
        </w:rPr>
        <w:t>6. Milwaukee, Wisconsin: Mitchell Street Branch &amp; Alexander Lofts</w:t>
      </w:r>
    </w:p>
    <w:p w14:paraId="00000014" w14:textId="77777777" w:rsidR="00796FF9" w:rsidRDefault="0001183F">
      <w:pPr>
        <w:numPr>
          <w:ilvl w:val="0"/>
          <w:numId w:val="8"/>
        </w:numPr>
      </w:pPr>
      <w:r>
        <w:rPr>
          <w:b/>
          <w:bCs/>
          <w:sz w:val="21"/>
          <w:szCs w:val="21"/>
        </w:rPr>
        <w:t>The Concept:</w:t>
      </w:r>
      <w:r>
        <w:rPr>
          <w:sz w:val="21"/>
          <w:szCs w:val="21"/>
        </w:rPr>
        <w:t xml:space="preserve"> This $21 million project involved restoring a historic department store into the city's largest branch library (23,000 square feet) featuring a recording studio and a makerspace with a kitchen. The development also includes 52 market-rate apartments and eight townhouses.</w:t>
      </w:r>
    </w:p>
    <w:p w14:paraId="00000015" w14:textId="77777777" w:rsidR="00796FF9" w:rsidRDefault="0001183F">
      <w:pPr>
        <w:numPr>
          <w:ilvl w:val="0"/>
          <w:numId w:val="8"/>
        </w:numPr>
        <w:spacing w:after="180"/>
      </w:pPr>
      <w:r>
        <w:rPr>
          <w:b/>
          <w:bCs/>
          <w:sz w:val="21"/>
          <w:szCs w:val="21"/>
        </w:rPr>
        <w:t>How it was Financed:</w:t>
      </w:r>
      <w:r>
        <w:rPr>
          <w:sz w:val="21"/>
          <w:szCs w:val="21"/>
        </w:rPr>
        <w:t xml:space="preserve"> Co-locating the library with market-rate housing allowed the city to put formerly untaxed property back on the tax rolls, generating hundreds of thousands of dollars in new tax base revenue while revitalizing the surrounding business district.</w:t>
      </w:r>
    </w:p>
    <w:p w14:paraId="00000016" w14:textId="77777777" w:rsidR="00796FF9" w:rsidRDefault="0001183F">
      <w:pPr>
        <w:rPr>
          <w:b/>
          <w:bCs/>
          <w:sz w:val="21"/>
          <w:szCs w:val="21"/>
        </w:rPr>
      </w:pPr>
      <w:r>
        <w:rPr>
          <w:b/>
          <w:bCs/>
          <w:sz w:val="21"/>
          <w:szCs w:val="21"/>
        </w:rPr>
        <w:t>7. Miami, Florida: Hispanic Branch Library &amp; Villa Aurora</w:t>
      </w:r>
    </w:p>
    <w:p w14:paraId="00000017" w14:textId="77777777" w:rsidR="00796FF9" w:rsidRDefault="0001183F">
      <w:pPr>
        <w:numPr>
          <w:ilvl w:val="0"/>
          <w:numId w:val="2"/>
        </w:numPr>
      </w:pPr>
      <w:r>
        <w:rPr>
          <w:b/>
          <w:bCs/>
          <w:sz w:val="21"/>
          <w:szCs w:val="21"/>
        </w:rPr>
        <w:t>The Concept:</w:t>
      </w:r>
      <w:r>
        <w:rPr>
          <w:sz w:val="21"/>
          <w:szCs w:val="21"/>
        </w:rPr>
        <w:t xml:space="preserve"> Built on the site of a former homeless shelter, this project combined a 12,000-square-foot branch library with 76 permanently affordable housing units.</w:t>
      </w:r>
    </w:p>
    <w:p w14:paraId="00000018" w14:textId="77777777" w:rsidR="00796FF9" w:rsidRDefault="0001183F">
      <w:pPr>
        <w:numPr>
          <w:ilvl w:val="0"/>
          <w:numId w:val="2"/>
        </w:numPr>
        <w:spacing w:after="180"/>
      </w:pPr>
      <w:r>
        <w:rPr>
          <w:b/>
          <w:bCs/>
          <w:sz w:val="21"/>
          <w:szCs w:val="21"/>
        </w:rPr>
        <w:t>How it was Financed:</w:t>
      </w:r>
      <w:r>
        <w:rPr>
          <w:sz w:val="21"/>
          <w:szCs w:val="21"/>
        </w:rPr>
        <w:t xml:space="preserve"> The nonprofit housing provider leases the ground floor to the library. The $29 million project utilized tax credit equity, an incentive loan from the Florida Housing Finance Corporation, and deferred developer fees, bringing the final cost to the library system down to just $3 million.</w:t>
      </w:r>
    </w:p>
    <w:p w14:paraId="00000019" w14:textId="77777777" w:rsidR="00796FF9" w:rsidRDefault="0001183F">
      <w:pPr>
        <w:rPr>
          <w:b/>
          <w:bCs/>
          <w:sz w:val="21"/>
          <w:szCs w:val="21"/>
        </w:rPr>
      </w:pPr>
      <w:r>
        <w:rPr>
          <w:b/>
          <w:bCs/>
          <w:sz w:val="21"/>
          <w:szCs w:val="21"/>
        </w:rPr>
        <w:t>8. The "Civic Commons" Revitalization Model (Philadelphia, Detroit, Akron)</w:t>
      </w:r>
    </w:p>
    <w:p w14:paraId="0000001A" w14:textId="77777777" w:rsidR="00796FF9" w:rsidRDefault="0001183F">
      <w:pPr>
        <w:numPr>
          <w:ilvl w:val="0"/>
          <w:numId w:val="1"/>
        </w:numPr>
      </w:pPr>
      <w:r>
        <w:rPr>
          <w:b/>
          <w:bCs/>
          <w:sz w:val="21"/>
          <w:szCs w:val="21"/>
        </w:rPr>
        <w:t>The Concept:</w:t>
      </w:r>
      <w:r>
        <w:rPr>
          <w:sz w:val="21"/>
          <w:szCs w:val="21"/>
        </w:rPr>
        <w:t xml:space="preserve"> The "Reimagining the Civic Commons" initiative transforms underutilized libraries, parks, and trails into dynamic hubs to bridge socioeconomic divides. In Akron, Ohio, these spaces host outdoor yoga, community mural projects, and feature world-class performance pavilions.</w:t>
      </w:r>
    </w:p>
    <w:p w14:paraId="0000001B" w14:textId="04BEA8CE" w:rsidR="00DD0C8F" w:rsidRDefault="0001183F">
      <w:pPr>
        <w:numPr>
          <w:ilvl w:val="0"/>
          <w:numId w:val="1"/>
        </w:numPr>
        <w:spacing w:after="180"/>
        <w:rPr>
          <w:sz w:val="21"/>
          <w:szCs w:val="21"/>
        </w:rPr>
      </w:pPr>
      <w:r>
        <w:rPr>
          <w:b/>
          <w:bCs/>
          <w:sz w:val="21"/>
          <w:szCs w:val="21"/>
        </w:rPr>
        <w:t>How it was Financed:</w:t>
      </w:r>
      <w:r>
        <w:rPr>
          <w:sz w:val="21"/>
          <w:szCs w:val="21"/>
        </w:rPr>
        <w:t xml:space="preserve"> This model is heavily supported by national foundations (including The JPB Foundation, Knight Foundation, and The Kresge Foundation) partnering with local organizations to fund the programming and physical upgrades.</w:t>
      </w:r>
    </w:p>
    <w:p w14:paraId="6262D628" w14:textId="77777777" w:rsidR="00796FF9" w:rsidRDefault="00796FF9" w:rsidP="00792006">
      <w:pPr>
        <w:spacing w:after="180"/>
        <w:ind w:left="720"/>
      </w:pPr>
    </w:p>
    <w:p w14:paraId="0000001C" w14:textId="77777777" w:rsidR="00796FF9" w:rsidRDefault="00796FF9"/>
    <w:sectPr w:rsidR="00796FF9">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37E5E" w14:textId="77777777" w:rsidR="00426B47" w:rsidRDefault="00426B47" w:rsidP="00DD0C8F">
      <w:pPr>
        <w:spacing w:line="240" w:lineRule="auto"/>
      </w:pPr>
      <w:r>
        <w:separator/>
      </w:r>
    </w:p>
  </w:endnote>
  <w:endnote w:type="continuationSeparator" w:id="0">
    <w:p w14:paraId="2B8D9147" w14:textId="77777777" w:rsidR="00426B47" w:rsidRDefault="00426B47" w:rsidP="00DD0C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B852846-2965-4CE7-870F-DE3A4C4B2442}"/>
  </w:font>
  <w:font w:name="Cambria">
    <w:panose1 w:val="02040503050406030204"/>
    <w:charset w:val="00"/>
    <w:family w:val="roman"/>
    <w:pitch w:val="variable"/>
    <w:sig w:usb0="E00006FF" w:usb1="420024FF" w:usb2="02000000" w:usb3="00000000" w:csb0="0000019F" w:csb1="00000000"/>
    <w:embedRegular r:id="rId2" w:fontKey="{0A7E245E-B004-47FA-AEB5-F682D7A11C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76093" w14:textId="36D374D9" w:rsidR="00DD0C8F" w:rsidRDefault="00DD0C8F" w:rsidP="00DD0C8F">
    <w:pPr>
      <w:pBdr>
        <w:top w:val="single" w:sz="4" w:space="4" w:color="2E7D6B"/>
      </w:pBdr>
      <w:tabs>
        <w:tab w:val="right" w:pos="9360"/>
      </w:tabs>
      <w:spacing w:before="100"/>
    </w:pPr>
    <w:r w:rsidRPr="003446EF">
      <w:rPr>
        <w:color w:val="6B7280"/>
        <w:sz w:val="16"/>
        <w:szCs w:val="16"/>
      </w:rPr>
      <w:t xml:space="preserve">City of Sebastopol  |  </w:t>
    </w:r>
    <w:hyperlink r:id="rId1">
      <w:r w:rsidRPr="003446EF">
        <w:rPr>
          <w:color w:val="1155CC"/>
          <w:sz w:val="16"/>
          <w:szCs w:val="16"/>
          <w:u w:val="single"/>
        </w:rPr>
        <w:t>www.city</w:t>
      </w:r>
    </w:hyperlink>
    <w:hyperlink r:id="rId2">
      <w:r w:rsidRPr="003446EF">
        <w:rPr>
          <w:color w:val="1155CC"/>
          <w:sz w:val="16"/>
          <w:szCs w:val="16"/>
          <w:u w:val="single"/>
        </w:rPr>
        <w:t>of</w:t>
      </w:r>
    </w:hyperlink>
    <w:hyperlink r:id="rId3">
      <w:r w:rsidRPr="003446EF">
        <w:rPr>
          <w:color w:val="1155CC"/>
          <w:sz w:val="16"/>
          <w:szCs w:val="16"/>
          <w:u w:val="single"/>
        </w:rPr>
        <w:t>sebastopol.</w:t>
      </w:r>
    </w:hyperlink>
    <w:hyperlink r:id="rId4">
      <w:r w:rsidRPr="003446EF">
        <w:rPr>
          <w:color w:val="1155CC"/>
          <w:sz w:val="16"/>
          <w:szCs w:val="16"/>
          <w:u w:val="single"/>
        </w:rPr>
        <w:t>gov</w:t>
      </w:r>
    </w:hyperlink>
    <w:r w:rsidRPr="003446EF">
      <w:rPr>
        <w:color w:val="6B7280"/>
        <w:sz w:val="16"/>
        <w:szCs w:val="16"/>
      </w:rPr>
      <w:ptab w:relativeTo="margin" w:alignment="center" w:leader="none"/>
    </w:r>
    <w:r w:rsidRPr="003446EF">
      <w:rPr>
        <w:color w:val="6B7280"/>
        <w:sz w:val="16"/>
        <w:szCs w:val="16"/>
      </w:rPr>
      <w:ptab w:relativeTo="margin" w:alignment="right" w:leader="none"/>
    </w:r>
    <w:r w:rsidRPr="003446EF">
      <w:rPr>
        <w:color w:val="6B7280"/>
        <w:sz w:val="16"/>
        <w:szCs w:val="16"/>
      </w:rPr>
      <w:t xml:space="preserve">Page </w:t>
    </w:r>
    <w:r w:rsidRPr="003446EF">
      <w:rPr>
        <w:color w:val="6B7280"/>
        <w:sz w:val="16"/>
        <w:szCs w:val="16"/>
      </w:rPr>
      <w:fldChar w:fldCharType="begin"/>
    </w:r>
    <w:r w:rsidRPr="003446EF">
      <w:rPr>
        <w:color w:val="6B7280"/>
        <w:sz w:val="16"/>
        <w:szCs w:val="16"/>
      </w:rPr>
      <w:instrText xml:space="preserve"> PAGE  \* Arabic  \* MERGEFORMAT </w:instrText>
    </w:r>
    <w:r w:rsidRPr="003446EF">
      <w:rPr>
        <w:color w:val="6B7280"/>
        <w:sz w:val="16"/>
        <w:szCs w:val="16"/>
      </w:rPr>
      <w:fldChar w:fldCharType="separate"/>
    </w:r>
    <w:r>
      <w:rPr>
        <w:color w:val="6B7280"/>
        <w:sz w:val="16"/>
        <w:szCs w:val="16"/>
      </w:rPr>
      <w:t>1</w:t>
    </w:r>
    <w:r w:rsidRPr="003446EF">
      <w:rPr>
        <w:color w:val="6B7280"/>
        <w:sz w:val="16"/>
        <w:szCs w:val="16"/>
      </w:rPr>
      <w:fldChar w:fldCharType="end"/>
    </w:r>
    <w:r w:rsidRPr="003446EF">
      <w:rPr>
        <w:color w:val="6B7280"/>
        <w:sz w:val="16"/>
        <w:szCs w:val="16"/>
      </w:rPr>
      <w:t xml:space="preserve"> of </w:t>
    </w:r>
    <w:r w:rsidRPr="003446EF">
      <w:rPr>
        <w:color w:val="6B7280"/>
        <w:sz w:val="16"/>
        <w:szCs w:val="16"/>
      </w:rPr>
      <w:fldChar w:fldCharType="begin"/>
    </w:r>
    <w:r w:rsidRPr="003446EF">
      <w:rPr>
        <w:color w:val="6B7280"/>
        <w:sz w:val="16"/>
        <w:szCs w:val="16"/>
      </w:rPr>
      <w:instrText xml:space="preserve"> NUMPAGES  \* Arabic  \* MERGEFORMAT </w:instrText>
    </w:r>
    <w:r w:rsidRPr="003446EF">
      <w:rPr>
        <w:color w:val="6B7280"/>
        <w:sz w:val="16"/>
        <w:szCs w:val="16"/>
      </w:rPr>
      <w:fldChar w:fldCharType="separate"/>
    </w:r>
    <w:r>
      <w:rPr>
        <w:color w:val="6B7280"/>
        <w:sz w:val="16"/>
        <w:szCs w:val="16"/>
      </w:rPr>
      <w:t>6</w:t>
    </w:r>
    <w:r w:rsidRPr="003446EF">
      <w:rPr>
        <w:color w:val="6B72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AE431" w14:textId="77777777" w:rsidR="00426B47" w:rsidRDefault="00426B47" w:rsidP="00DD0C8F">
      <w:pPr>
        <w:spacing w:line="240" w:lineRule="auto"/>
      </w:pPr>
      <w:r>
        <w:separator/>
      </w:r>
    </w:p>
  </w:footnote>
  <w:footnote w:type="continuationSeparator" w:id="0">
    <w:p w14:paraId="2CCA893F" w14:textId="77777777" w:rsidR="00426B47" w:rsidRDefault="00426B47" w:rsidP="00DD0C8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97F39"/>
    <w:multiLevelType w:val="multilevel"/>
    <w:tmpl w:val="E690E542"/>
    <w:lvl w:ilvl="0">
      <w:start w:val="1"/>
      <w:numFmt w:val="bullet"/>
      <w:lvlText w:val="●"/>
      <w:lvlJc w:val="left"/>
      <w:pPr>
        <w:ind w:left="720" w:hanging="360"/>
      </w:pPr>
      <w:rPr>
        <w:color w:val="C7C7C7"/>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140445"/>
    <w:multiLevelType w:val="multilevel"/>
    <w:tmpl w:val="D86EAAF8"/>
    <w:lvl w:ilvl="0">
      <w:start w:val="1"/>
      <w:numFmt w:val="bullet"/>
      <w:lvlText w:val="●"/>
      <w:lvlJc w:val="left"/>
      <w:pPr>
        <w:ind w:left="720" w:hanging="360"/>
      </w:pPr>
      <w:rPr>
        <w:color w:val="C7C7C7"/>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66141D"/>
    <w:multiLevelType w:val="multilevel"/>
    <w:tmpl w:val="7BAE3D20"/>
    <w:lvl w:ilvl="0">
      <w:start w:val="1"/>
      <w:numFmt w:val="bullet"/>
      <w:lvlText w:val="●"/>
      <w:lvlJc w:val="left"/>
      <w:pPr>
        <w:ind w:left="720" w:hanging="360"/>
      </w:pPr>
      <w:rPr>
        <w:color w:val="C7C7C7"/>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5A71BE"/>
    <w:multiLevelType w:val="multilevel"/>
    <w:tmpl w:val="B6186742"/>
    <w:lvl w:ilvl="0">
      <w:start w:val="1"/>
      <w:numFmt w:val="bullet"/>
      <w:lvlText w:val="●"/>
      <w:lvlJc w:val="left"/>
      <w:pPr>
        <w:ind w:left="720" w:hanging="360"/>
      </w:pPr>
      <w:rPr>
        <w:color w:val="C7C7C7"/>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395D07"/>
    <w:multiLevelType w:val="multilevel"/>
    <w:tmpl w:val="5F860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170C28"/>
    <w:multiLevelType w:val="multilevel"/>
    <w:tmpl w:val="06D6A0CC"/>
    <w:lvl w:ilvl="0">
      <w:start w:val="1"/>
      <w:numFmt w:val="bullet"/>
      <w:lvlText w:val="●"/>
      <w:lvlJc w:val="left"/>
      <w:pPr>
        <w:ind w:left="720" w:hanging="360"/>
      </w:pPr>
      <w:rPr>
        <w:color w:val="C7C7C7"/>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5EA37A9"/>
    <w:multiLevelType w:val="multilevel"/>
    <w:tmpl w:val="F58A3BCE"/>
    <w:lvl w:ilvl="0">
      <w:start w:val="1"/>
      <w:numFmt w:val="bullet"/>
      <w:lvlText w:val="●"/>
      <w:lvlJc w:val="left"/>
      <w:pPr>
        <w:ind w:left="720" w:hanging="360"/>
      </w:pPr>
      <w:rPr>
        <w:color w:val="C7C7C7"/>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1D5AC0"/>
    <w:multiLevelType w:val="multilevel"/>
    <w:tmpl w:val="7E888984"/>
    <w:lvl w:ilvl="0">
      <w:start w:val="1"/>
      <w:numFmt w:val="bullet"/>
      <w:lvlText w:val="●"/>
      <w:lvlJc w:val="left"/>
      <w:pPr>
        <w:ind w:left="720" w:hanging="360"/>
      </w:pPr>
      <w:rPr>
        <w:color w:val="C7C7C7"/>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1A1162E"/>
    <w:multiLevelType w:val="multilevel"/>
    <w:tmpl w:val="4C14F3C0"/>
    <w:lvl w:ilvl="0">
      <w:start w:val="1"/>
      <w:numFmt w:val="bullet"/>
      <w:lvlText w:val="●"/>
      <w:lvlJc w:val="left"/>
      <w:pPr>
        <w:ind w:left="720" w:hanging="360"/>
      </w:pPr>
      <w:rPr>
        <w:color w:val="C7C7C7"/>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8785196">
    <w:abstractNumId w:val="3"/>
  </w:num>
  <w:num w:numId="2" w16cid:durableId="1019044666">
    <w:abstractNumId w:val="0"/>
  </w:num>
  <w:num w:numId="3" w16cid:durableId="1539584416">
    <w:abstractNumId w:val="6"/>
  </w:num>
  <w:num w:numId="4" w16cid:durableId="626279851">
    <w:abstractNumId w:val="2"/>
  </w:num>
  <w:num w:numId="5" w16cid:durableId="1493984247">
    <w:abstractNumId w:val="8"/>
  </w:num>
  <w:num w:numId="6" w16cid:durableId="2097170196">
    <w:abstractNumId w:val="5"/>
  </w:num>
  <w:num w:numId="7" w16cid:durableId="1502114853">
    <w:abstractNumId w:val="1"/>
  </w:num>
  <w:num w:numId="8" w16cid:durableId="1860582420">
    <w:abstractNumId w:val="7"/>
  </w:num>
  <w:num w:numId="9" w16cid:durableId="17503005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FF9"/>
    <w:rsid w:val="0001183F"/>
    <w:rsid w:val="00295147"/>
    <w:rsid w:val="00426B47"/>
    <w:rsid w:val="00792006"/>
    <w:rsid w:val="00796FF9"/>
    <w:rsid w:val="0096252D"/>
    <w:rsid w:val="00CA67DC"/>
    <w:rsid w:val="00D31173"/>
    <w:rsid w:val="00DD0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44051"/>
  <w15:docId w15:val="{70281B6B-0D97-4E6C-9C34-DBDC76C67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D0C8F"/>
    <w:pPr>
      <w:tabs>
        <w:tab w:val="center" w:pos="4680"/>
        <w:tab w:val="right" w:pos="9360"/>
      </w:tabs>
      <w:spacing w:line="240" w:lineRule="auto"/>
    </w:pPr>
  </w:style>
  <w:style w:type="character" w:customStyle="1" w:styleId="HeaderChar">
    <w:name w:val="Header Char"/>
    <w:basedOn w:val="DefaultParagraphFont"/>
    <w:link w:val="Header"/>
    <w:uiPriority w:val="99"/>
    <w:rsid w:val="00DD0C8F"/>
  </w:style>
  <w:style w:type="paragraph" w:styleId="Footer">
    <w:name w:val="footer"/>
    <w:basedOn w:val="Normal"/>
    <w:link w:val="FooterChar"/>
    <w:uiPriority w:val="99"/>
    <w:unhideWhenUsed/>
    <w:rsid w:val="00DD0C8F"/>
    <w:pPr>
      <w:tabs>
        <w:tab w:val="center" w:pos="4680"/>
        <w:tab w:val="right" w:pos="9360"/>
      </w:tabs>
      <w:spacing w:line="240" w:lineRule="auto"/>
    </w:pPr>
  </w:style>
  <w:style w:type="character" w:customStyle="1" w:styleId="FooterChar">
    <w:name w:val="Footer Char"/>
    <w:basedOn w:val="DefaultParagraphFont"/>
    <w:link w:val="Footer"/>
    <w:uiPriority w:val="99"/>
    <w:rsid w:val="00DD0C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hyperlink" Target="http://www.cityofsebastopol.gov" TargetMode="External"/><Relationship Id="rId2" Type="http://schemas.openxmlformats.org/officeDocument/2006/relationships/hyperlink" Target="http://www.cityofsebastopol.gov" TargetMode="External"/><Relationship Id="rId1" Type="http://schemas.openxmlformats.org/officeDocument/2006/relationships/hyperlink" Target="http://www.cityofsebastopol.gov" TargetMode="External"/><Relationship Id="rId4" Type="http://schemas.openxmlformats.org/officeDocument/2006/relationships/hyperlink" Target="http://www.cityofsebastopol.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911</Words>
  <Characters>5199</Characters>
  <Application>Microsoft Office Word</Application>
  <DocSecurity>0</DocSecurity>
  <Lines>43</Lines>
  <Paragraphs>12</Paragraphs>
  <ScaleCrop>false</ScaleCrop>
  <Company/>
  <LinksUpToDate>false</LinksUpToDate>
  <CharactersWithSpaces>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Elissa Overton</dc:creator>
  <cp:lastModifiedBy>Elissa Overton</cp:lastModifiedBy>
  <cp:revision>3</cp:revision>
  <dcterms:created xsi:type="dcterms:W3CDTF">2026-04-15T16:36:00Z</dcterms:created>
  <dcterms:modified xsi:type="dcterms:W3CDTF">2026-04-15T16:37:00Z</dcterms:modified>
</cp:coreProperties>
</file>